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BDA" w:rsidRDefault="00B342CB">
      <w:pPr>
        <w:ind w:left="4956"/>
      </w:pPr>
      <w:r>
        <w:rPr>
          <w:rFonts w:ascii="Garamond" w:eastAsia="Times New Roman" w:hAnsi="Garamond" w:cs="Tahoma"/>
          <w:sz w:val="20"/>
          <w:szCs w:val="20"/>
        </w:rPr>
        <w:t xml:space="preserve">       </w:t>
      </w:r>
    </w:p>
    <w:p w:rsidR="00DB6BDA" w:rsidRDefault="00B342CB">
      <w:pPr>
        <w:jc w:val="both"/>
        <w:rPr>
          <w:rFonts w:ascii="Garamond" w:eastAsia="Times New Roman" w:hAnsi="Garamond" w:cs="Calibri"/>
          <w:b/>
        </w:rPr>
      </w:pPr>
      <w:bookmarkStart w:id="0" w:name="_Toc481143938"/>
      <w:r>
        <w:rPr>
          <w:rFonts w:ascii="Garamond" w:eastAsia="Times New Roman" w:hAnsi="Garamond" w:cs="Calibri"/>
          <w:b/>
        </w:rPr>
        <w:t xml:space="preserve">Allegato </w:t>
      </w:r>
      <w:bookmarkEnd w:id="0"/>
      <w:r>
        <w:rPr>
          <w:rFonts w:ascii="Garamond" w:eastAsia="Times New Roman" w:hAnsi="Garamond" w:cs="Calibri"/>
          <w:b/>
        </w:rPr>
        <w:t xml:space="preserve">B – Dichiarazione de minimis </w:t>
      </w:r>
    </w:p>
    <w:p w:rsidR="00DB6BDA" w:rsidRDefault="00B342CB">
      <w:pPr>
        <w:spacing w:line="276" w:lineRule="auto"/>
        <w:ind w:left="3540" w:firstLine="708"/>
      </w:pPr>
      <w:r>
        <w:rPr>
          <w:rFonts w:ascii="Calibri" w:eastAsia="Calibri" w:hAnsi="Calibri" w:cs="Tahoma-Bold"/>
          <w:b/>
          <w:bCs/>
          <w:szCs w:val="22"/>
          <w:lang w:eastAsia="en-US"/>
        </w:rPr>
        <w:tab/>
        <w:t xml:space="preserve">AL GAL LUOGHI DEL MITO E DELLE </w:t>
      </w:r>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t xml:space="preserve">GRAVINE S.c.a r.l. </w:t>
      </w:r>
    </w:p>
    <w:p w:rsidR="00DB6BDA" w:rsidRDefault="00B342CB">
      <w:pPr>
        <w:ind w:left="3540" w:firstLine="708"/>
        <w:jc w:val="center"/>
      </w:pPr>
      <w:r>
        <w:rPr>
          <w:rFonts w:ascii="Calibri" w:hAnsi="Calibri" w:cs="Tahoma-Bold"/>
          <w:b/>
          <w:bCs/>
        </w:rPr>
        <w:t xml:space="preserve">      Via Vittorio Emanuele sn - Palazzo Catalano </w:t>
      </w:r>
    </w:p>
    <w:p w:rsidR="00DB6BDA" w:rsidRDefault="00B342CB">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r>
      <w:r>
        <w:rPr>
          <w:rFonts w:ascii="Calibri" w:eastAsia="Calibri" w:hAnsi="Calibri" w:cs="Tahoma-Bold"/>
          <w:b/>
          <w:bCs/>
          <w:szCs w:val="22"/>
          <w:lang w:eastAsia="en-US"/>
        </w:rPr>
        <w:tab/>
        <w:t>74011 CASTELLANETA (TA)</w:t>
      </w:r>
    </w:p>
    <w:p w:rsidR="00DB6BDA" w:rsidRDefault="00DB6BDA">
      <w:pPr>
        <w:jc w:val="right"/>
        <w:rPr>
          <w:rFonts w:ascii="Garamond" w:eastAsia="Times New Roman" w:hAnsi="Garamond" w:cs="Calibri"/>
          <w:b/>
        </w:rPr>
      </w:pPr>
    </w:p>
    <w:p w:rsidR="00DB6BDA" w:rsidRDefault="00DB6BDA">
      <w:pPr>
        <w:rPr>
          <w:rFonts w:ascii="Garamond" w:eastAsia="Times New Roman" w:hAnsi="Garamond" w:cs="Arial"/>
          <w:b/>
          <w:sz w:val="20"/>
          <w:szCs w:val="20"/>
        </w:rPr>
      </w:pPr>
    </w:p>
    <w:p w:rsidR="00DB6BDA" w:rsidRDefault="00B342CB">
      <w:pPr>
        <w:spacing w:line="276" w:lineRule="auto"/>
        <w:jc w:val="center"/>
      </w:pPr>
      <w:r>
        <w:rPr>
          <w:rFonts w:ascii="Times New Roman" w:eastAsia="Calibri" w:hAnsi="Times New Roman" w:cs="Times New Roman"/>
          <w:b/>
          <w:bCs/>
          <w:lang w:eastAsia="en-US"/>
        </w:rPr>
        <w:t xml:space="preserve">STRATEGIA DI SVILUPPO LOCALE 2014-2020 GAL </w:t>
      </w:r>
      <w:r>
        <w:rPr>
          <w:rFonts w:ascii="Times New Roman" w:eastAsia="Calibri" w:hAnsi="Times New Roman" w:cs="Times New Roman"/>
          <w:b/>
          <w:bCs/>
          <w:szCs w:val="22"/>
          <w:lang w:eastAsia="en-US"/>
        </w:rPr>
        <w:t xml:space="preserve">LUOGHI DEL MITO E DELLE </w:t>
      </w:r>
      <w:r>
        <w:rPr>
          <w:rFonts w:ascii="Times New Roman" w:eastAsia="Calibri" w:hAnsi="Times New Roman" w:cs="Times New Roman"/>
          <w:b/>
          <w:bCs/>
          <w:szCs w:val="22"/>
          <w:lang w:eastAsia="en-US"/>
        </w:rPr>
        <w:t>GRAVINE</w:t>
      </w:r>
    </w:p>
    <w:p w:rsidR="00DB6BDA" w:rsidRDefault="00DB6BDA">
      <w:pPr>
        <w:spacing w:line="276" w:lineRule="auto"/>
        <w:jc w:val="center"/>
        <w:rPr>
          <w:rFonts w:ascii="Times New Roman" w:eastAsia="Calibri" w:hAnsi="Times New Roman" w:cs="Times New Roman"/>
          <w:b/>
          <w:bCs/>
          <w:szCs w:val="22"/>
          <w:lang w:eastAsia="en-US"/>
        </w:rPr>
      </w:pPr>
    </w:p>
    <w:p w:rsidR="00DB6BDA" w:rsidRDefault="00B342CB">
      <w:pPr>
        <w:spacing w:line="276" w:lineRule="auto"/>
        <w:jc w:val="center"/>
      </w:pPr>
      <w:r>
        <w:rPr>
          <w:rFonts w:ascii="Garamond" w:eastAsia="Calibri" w:hAnsi="Garamond" w:cs="Times New Roman"/>
          <w:b/>
          <w:bCs/>
          <w:sz w:val="22"/>
          <w:szCs w:val="22"/>
          <w:lang w:eastAsia="en-US"/>
        </w:rPr>
        <w:t xml:space="preserve"> </w:t>
      </w:r>
      <w:r>
        <w:rPr>
          <w:rFonts w:ascii="Garamond" w:eastAsia="Calibri" w:hAnsi="Garamond" w:cs="Tahoma"/>
          <w:b/>
          <w:bCs/>
          <w:sz w:val="20"/>
          <w:szCs w:val="20"/>
          <w:lang w:eastAsia="en-US"/>
        </w:rPr>
        <w:t xml:space="preserve">AZIONE 1 </w:t>
      </w:r>
      <w:bookmarkStart w:id="1" w:name="__DdeLink__13391_2953071708"/>
      <w:r>
        <w:rPr>
          <w:rFonts w:ascii="Garamond" w:eastAsia="Calibri" w:hAnsi="Garamond" w:cs="Tahoma"/>
          <w:b/>
          <w:bCs/>
          <w:sz w:val="20"/>
          <w:szCs w:val="20"/>
          <w:lang w:eastAsia="en-US"/>
        </w:rPr>
        <w:t xml:space="preserve">- “Gravine in rete: dalle reti di interesse alle reti di comunità” - INTERVENTO  </w:t>
      </w:r>
      <w:r>
        <w:rPr>
          <w:rFonts w:ascii="Garamond" w:eastAsia="Calibri" w:hAnsi="Garamond" w:cs="Calibri"/>
          <w:color w:val="000000"/>
          <w:sz w:val="20"/>
          <w:szCs w:val="20"/>
          <w:lang w:eastAsia="en-US"/>
        </w:rPr>
        <w:t>1.</w:t>
      </w:r>
      <w:r w:rsidR="00A55E8D">
        <w:rPr>
          <w:rFonts w:ascii="Garamond" w:eastAsia="Calibri" w:hAnsi="Garamond" w:cs="Calibri"/>
          <w:color w:val="000000"/>
          <w:sz w:val="20"/>
          <w:szCs w:val="20"/>
          <w:lang w:eastAsia="en-US"/>
        </w:rPr>
        <w:t>1</w:t>
      </w:r>
      <w:bookmarkStart w:id="2" w:name="_GoBack"/>
      <w:bookmarkEnd w:id="2"/>
      <w:r>
        <w:rPr>
          <w:rFonts w:ascii="Garamond" w:eastAsia="Calibri" w:hAnsi="Garamond" w:cs="Calibri"/>
          <w:color w:val="000000"/>
          <w:sz w:val="20"/>
          <w:szCs w:val="20"/>
          <w:lang w:eastAsia="en-US"/>
        </w:rPr>
        <w:t xml:space="preserve"> </w:t>
      </w:r>
      <w:r>
        <w:rPr>
          <w:rFonts w:ascii="Garamond" w:eastAsia="Calibri" w:hAnsi="Garamond" w:cs="Times New Roman"/>
          <w:color w:val="000000"/>
          <w:sz w:val="20"/>
          <w:szCs w:val="20"/>
        </w:rPr>
        <w:t xml:space="preserve"> </w:t>
      </w:r>
      <w:bookmarkEnd w:id="1"/>
      <w:r w:rsidR="00B95393" w:rsidRPr="00B95393">
        <w:rPr>
          <w:rFonts w:ascii="Garamond" w:eastAsia="Calibri" w:hAnsi="Garamond" w:cs="Times New Roman"/>
          <w:color w:val="000000"/>
          <w:sz w:val="20"/>
          <w:szCs w:val="20"/>
        </w:rPr>
        <w:t xml:space="preserve">“La rete dell’ospitalità del Parco Rurale delle Gravine” </w:t>
      </w:r>
      <w:r>
        <w:rPr>
          <w:rFonts w:ascii="Garamond" w:eastAsia="Calibri" w:hAnsi="Garamond" w:cs="Tahoma"/>
          <w:b/>
          <w:bCs/>
          <w:sz w:val="20"/>
          <w:szCs w:val="20"/>
          <w:lang w:eastAsia="en-US"/>
        </w:rPr>
        <w:t>BANDO PUBBLICO PER LA PRESENTAZIONE DELLE DOMANDE DI SOSTEGNO PUBBLICATO NEL BURP N. _______ DEL _____________</w:t>
      </w:r>
    </w:p>
    <w:p w:rsidR="00DB6BDA" w:rsidRDefault="00DB6BDA">
      <w:pPr>
        <w:spacing w:line="276" w:lineRule="auto"/>
        <w:jc w:val="center"/>
        <w:rPr>
          <w:rFonts w:ascii="Garamond" w:eastAsia="Calibri" w:hAnsi="Garamond" w:cs="Times New Roman"/>
          <w:b/>
          <w:szCs w:val="22"/>
          <w:lang w:eastAsia="en-US"/>
        </w:rPr>
      </w:pPr>
    </w:p>
    <w:p w:rsidR="00DB6BDA" w:rsidRDefault="00B342CB">
      <w:pPr>
        <w:spacing w:after="120"/>
        <w:jc w:val="center"/>
        <w:rPr>
          <w:rFonts w:ascii="Garamond" w:hAnsi="Garamond"/>
          <w:b/>
          <w:bCs/>
          <w:sz w:val="28"/>
          <w:szCs w:val="22"/>
        </w:rPr>
      </w:pPr>
      <w:r>
        <w:rPr>
          <w:rFonts w:ascii="Garamond" w:hAnsi="Garamond"/>
          <w:b/>
          <w:bCs/>
          <w:sz w:val="28"/>
          <w:szCs w:val="22"/>
        </w:rPr>
        <w:t>DICHIARAZIONE SOSTITUTIVA DELL’ATTO DI NOTORIETÀ</w:t>
      </w:r>
      <w:r>
        <w:rPr>
          <w:rStyle w:val="Richiamoallanotaapidipagina"/>
          <w:rFonts w:ascii="Garamond" w:eastAsia="Calibri" w:hAnsi="Garamond"/>
          <w:b/>
          <w:szCs w:val="22"/>
          <w:lang w:eastAsia="en-US"/>
        </w:rPr>
        <w:footnoteReference w:id="1"/>
      </w:r>
      <w:r>
        <w:rPr>
          <w:rFonts w:ascii="Garamond" w:hAnsi="Garamond"/>
          <w:b/>
          <w:bCs/>
          <w:sz w:val="28"/>
          <w:szCs w:val="22"/>
        </w:rPr>
        <w:t xml:space="preserve"> PER LA CONCESSIONE DI AIUTI IN “DE MINIMIS”</w:t>
      </w:r>
    </w:p>
    <w:p w:rsidR="00DB6BDA" w:rsidRDefault="00B342CB">
      <w:pPr>
        <w:spacing w:after="120"/>
        <w:jc w:val="center"/>
        <w:rPr>
          <w:rFonts w:ascii="Garamond" w:hAnsi="Garamond"/>
          <w:bCs/>
          <w:sz w:val="22"/>
          <w:szCs w:val="22"/>
        </w:rPr>
      </w:pPr>
      <w:r>
        <w:rPr>
          <w:rFonts w:ascii="Garamond" w:hAnsi="Garamond"/>
          <w:bCs/>
          <w:sz w:val="22"/>
          <w:szCs w:val="22"/>
        </w:rPr>
        <w:t>(resa ai sensi dell’articolo 47 e 76 del Testo Un</w:t>
      </w:r>
      <w:r>
        <w:rPr>
          <w:rFonts w:ascii="Garamond" w:hAnsi="Garamond"/>
          <w:bCs/>
          <w:sz w:val="22"/>
          <w:szCs w:val="22"/>
        </w:rPr>
        <w:t>ico delle disposizioni legislative e regolamentari in materia di documentazione amministrativa approvato con D.P.R. 28 dicembre 2000, n. 445)</w:t>
      </w:r>
    </w:p>
    <w:p w:rsidR="00DB6BDA" w:rsidRDefault="00B342CB">
      <w:pPr>
        <w:spacing w:after="120" w:line="276" w:lineRule="auto"/>
        <w:rPr>
          <w:rFonts w:ascii="Garamond" w:eastAsia="Calibri" w:hAnsi="Garamond"/>
          <w:bCs/>
          <w:sz w:val="22"/>
          <w:szCs w:val="22"/>
          <w:lang w:eastAsia="en-US"/>
        </w:rPr>
      </w:pPr>
      <w:r>
        <w:rPr>
          <w:rFonts w:ascii="Garamond" w:eastAsia="Calibri" w:hAnsi="Garamond"/>
          <w:bCs/>
          <w:sz w:val="22"/>
          <w:szCs w:val="22"/>
          <w:lang w:eastAsia="en-US"/>
        </w:rPr>
        <w:t xml:space="preserve">Il/la </w:t>
      </w:r>
      <w:r>
        <w:rPr>
          <w:rFonts w:ascii="Garamond" w:eastAsia="Calibri" w:hAnsi="Garamond"/>
          <w:b/>
          <w:bCs/>
          <w:sz w:val="22"/>
          <w:szCs w:val="22"/>
          <w:lang w:eastAsia="en-US"/>
        </w:rPr>
        <w:t>sottoscritto/a: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117" w:type="dxa"/>
          <w:bottom w:w="57" w:type="dxa"/>
        </w:tblCellMar>
        <w:tblLook w:val="0000" w:firstRow="0" w:lastRow="0" w:firstColumn="0" w:lastColumn="0" w:noHBand="0" w:noVBand="0"/>
      </w:tblPr>
      <w:tblGrid>
        <w:gridCol w:w="1723"/>
        <w:gridCol w:w="2798"/>
        <w:gridCol w:w="959"/>
        <w:gridCol w:w="1449"/>
        <w:gridCol w:w="1496"/>
        <w:gridCol w:w="480"/>
        <w:gridCol w:w="723"/>
      </w:tblGrid>
      <w:tr w:rsidR="00DB6BDA">
        <w:trPr>
          <w:trHeight w:val="397"/>
        </w:trPr>
        <w:tc>
          <w:tcPr>
            <w:tcW w:w="9637"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rPr>
                <w:rFonts w:ascii="Garamond" w:hAnsi="Garamond"/>
                <w:bCs/>
                <w:sz w:val="20"/>
                <w:szCs w:val="20"/>
              </w:rPr>
            </w:pPr>
            <w:r>
              <w:rPr>
                <w:rFonts w:ascii="Garamond" w:hAnsi="Garamond"/>
                <w:b/>
                <w:bCs/>
                <w:sz w:val="20"/>
                <w:szCs w:val="20"/>
              </w:rPr>
              <w:t>SEZIONE 1 – Anagrafica richiedente</w:t>
            </w:r>
          </w:p>
        </w:tc>
      </w:tr>
      <w:tr w:rsidR="00DB6BDA">
        <w:trPr>
          <w:trHeight w:val="283"/>
        </w:trPr>
        <w:tc>
          <w:tcPr>
            <w:tcW w:w="17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b/>
                <w:sz w:val="20"/>
                <w:szCs w:val="20"/>
              </w:rPr>
            </w:pPr>
            <w:r>
              <w:rPr>
                <w:rFonts w:ascii="Garamond" w:hAnsi="Garamond"/>
                <w:b/>
                <w:bCs/>
                <w:sz w:val="20"/>
                <w:szCs w:val="20"/>
              </w:rPr>
              <w:t xml:space="preserve">Il </w:t>
            </w:r>
            <w:r>
              <w:rPr>
                <w:rFonts w:ascii="Garamond" w:hAnsi="Garamond"/>
                <w:b/>
                <w:sz w:val="20"/>
                <w:szCs w:val="20"/>
              </w:rPr>
              <w:t>legale rappresentante</w:t>
            </w:r>
            <w:r>
              <w:rPr>
                <w:rFonts w:ascii="Garamond" w:hAnsi="Garamond"/>
                <w:sz w:val="20"/>
                <w:szCs w:val="20"/>
              </w:rPr>
              <w:t xml:space="preserve"> </w:t>
            </w:r>
            <w:r>
              <w:rPr>
                <w:rFonts w:ascii="Garamond" w:hAnsi="Garamond"/>
                <w:b/>
                <w:sz w:val="20"/>
                <w:szCs w:val="20"/>
              </w:rPr>
              <w:t xml:space="preserve">del soggetto prpoponente </w:t>
            </w:r>
          </w:p>
        </w:tc>
        <w:tc>
          <w:tcPr>
            <w:tcW w:w="37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pPr>
            <w:r>
              <w:rPr>
                <w:rFonts w:ascii="Garamond" w:hAnsi="Garamond"/>
                <w:bCs/>
                <w:sz w:val="20"/>
                <w:szCs w:val="20"/>
              </w:rPr>
              <w:t xml:space="preserve">Nome e cognome </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nato/a il</w:t>
            </w:r>
          </w:p>
        </w:tc>
        <w:tc>
          <w:tcPr>
            <w:tcW w:w="19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nel Comune di</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Prov.</w:t>
            </w:r>
          </w:p>
        </w:tc>
      </w:tr>
      <w:tr w:rsidR="00DB6BDA">
        <w:trPr>
          <w:trHeight w:val="397"/>
        </w:trPr>
        <w:tc>
          <w:tcPr>
            <w:tcW w:w="1724"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sz w:val="20"/>
                <w:szCs w:val="20"/>
              </w:rPr>
            </w:pPr>
          </w:p>
        </w:tc>
        <w:tc>
          <w:tcPr>
            <w:tcW w:w="37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9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r>
      <w:tr w:rsidR="00DB6BDA">
        <w:trPr>
          <w:trHeight w:val="283"/>
        </w:trPr>
        <w:tc>
          <w:tcPr>
            <w:tcW w:w="1724"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sz w:val="20"/>
                <w:szCs w:val="20"/>
              </w:rPr>
            </w:pP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Comune di residenza</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CAP</w:t>
            </w:r>
          </w:p>
        </w:tc>
        <w:tc>
          <w:tcPr>
            <w:tcW w:w="29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Via</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n.</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20"/>
              </w:rPr>
            </w:pPr>
            <w:r>
              <w:rPr>
                <w:rFonts w:ascii="Garamond" w:hAnsi="Garamond"/>
                <w:bCs/>
                <w:sz w:val="20"/>
                <w:szCs w:val="20"/>
              </w:rPr>
              <w:t>Prov.</w:t>
            </w:r>
          </w:p>
        </w:tc>
      </w:tr>
      <w:tr w:rsidR="00DB6BDA">
        <w:trPr>
          <w:trHeight w:val="397"/>
        </w:trPr>
        <w:tc>
          <w:tcPr>
            <w:tcW w:w="1724"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sz w:val="20"/>
                <w:szCs w:val="20"/>
              </w:rPr>
            </w:pP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29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r>
    </w:tbl>
    <w:p w:rsidR="00DB6BDA" w:rsidRDefault="00DB6BDA">
      <w:pPr>
        <w:spacing w:after="120" w:line="276" w:lineRule="auto"/>
        <w:rPr>
          <w:rFonts w:ascii="Garamond" w:eastAsia="Calibri" w:hAnsi="Garamond"/>
          <w:sz w:val="22"/>
          <w:szCs w:val="22"/>
          <w:lang w:eastAsia="en-US"/>
        </w:rPr>
      </w:pPr>
    </w:p>
    <w:p w:rsidR="00DB6BDA" w:rsidRDefault="00B342CB">
      <w:pPr>
        <w:spacing w:after="120" w:line="276" w:lineRule="auto"/>
      </w:pPr>
      <w:r>
        <w:rPr>
          <w:rFonts w:ascii="Garamond" w:eastAsia="Calibri" w:hAnsi="Garamond"/>
          <w:bCs/>
          <w:sz w:val="22"/>
          <w:szCs w:val="22"/>
          <w:lang w:eastAsia="en-US"/>
        </w:rPr>
        <w:t xml:space="preserve">In qualità di </w:t>
      </w:r>
      <w:r>
        <w:rPr>
          <w:rFonts w:ascii="Garamond" w:eastAsia="Calibri" w:hAnsi="Garamond"/>
          <w:b/>
          <w:bCs/>
          <w:sz w:val="22"/>
          <w:szCs w:val="22"/>
          <w:lang w:eastAsia="en-US"/>
        </w:rPr>
        <w:t>legale rappresentante dell’impresa</w:t>
      </w:r>
      <w:r>
        <w:rPr>
          <w:rFonts w:ascii="Garamond" w:eastAsia="Calibri" w:hAnsi="Garamond"/>
          <w:bCs/>
          <w:sz w:val="22"/>
          <w:szCs w:val="22"/>
          <w:lang w:eastAsia="en-U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00" w:firstRow="0" w:lastRow="0" w:firstColumn="0" w:lastColumn="0" w:noHBand="0" w:noVBand="0"/>
      </w:tblPr>
      <w:tblGrid>
        <w:gridCol w:w="1721"/>
        <w:gridCol w:w="2645"/>
        <w:gridCol w:w="1158"/>
        <w:gridCol w:w="2054"/>
        <w:gridCol w:w="850"/>
        <w:gridCol w:w="479"/>
        <w:gridCol w:w="721"/>
      </w:tblGrid>
      <w:tr w:rsidR="00DB6BDA">
        <w:trPr>
          <w:trHeight w:val="397"/>
        </w:trPr>
        <w:tc>
          <w:tcPr>
            <w:tcW w:w="9637"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rPr>
                <w:rFonts w:ascii="Garamond" w:hAnsi="Garamond"/>
                <w:bCs/>
                <w:sz w:val="18"/>
                <w:szCs w:val="18"/>
              </w:rPr>
            </w:pPr>
            <w:r>
              <w:rPr>
                <w:rFonts w:ascii="Garamond" w:hAnsi="Garamond"/>
                <w:b/>
                <w:bCs/>
                <w:sz w:val="20"/>
                <w:szCs w:val="18"/>
              </w:rPr>
              <w:t xml:space="preserve">SEZIONE 2 – Anagrafica impresa </w:t>
            </w:r>
          </w:p>
        </w:tc>
      </w:tr>
      <w:tr w:rsidR="00DB6BDA">
        <w:trPr>
          <w:trHeight w:val="283"/>
        </w:trPr>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b/>
                <w:bCs/>
                <w:sz w:val="20"/>
                <w:szCs w:val="18"/>
              </w:rPr>
            </w:pPr>
            <w:r>
              <w:rPr>
                <w:rFonts w:ascii="Garamond" w:hAnsi="Garamond"/>
                <w:b/>
                <w:bCs/>
                <w:sz w:val="20"/>
                <w:szCs w:val="18"/>
              </w:rPr>
              <w:t xml:space="preserve">Impresa </w:t>
            </w:r>
          </w:p>
        </w:tc>
        <w:tc>
          <w:tcPr>
            <w:tcW w:w="38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18"/>
              </w:rPr>
            </w:pPr>
            <w:r>
              <w:rPr>
                <w:rFonts w:ascii="Garamond" w:hAnsi="Garamond"/>
                <w:bCs/>
                <w:sz w:val="20"/>
                <w:szCs w:val="18"/>
              </w:rPr>
              <w:t xml:space="preserve">Denominazione/Ragione sociale </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
                <w:bCs/>
                <w:sz w:val="20"/>
                <w:szCs w:val="18"/>
              </w:rPr>
            </w:pPr>
            <w:r>
              <w:rPr>
                <w:rFonts w:ascii="Garamond" w:hAnsi="Garamond"/>
                <w:bCs/>
                <w:sz w:val="20"/>
                <w:szCs w:val="18"/>
              </w:rPr>
              <w:t>Forma giuridica</w:t>
            </w:r>
          </w:p>
        </w:tc>
        <w:tc>
          <w:tcPr>
            <w:tcW w:w="20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18"/>
              </w:rPr>
            </w:pPr>
          </w:p>
        </w:tc>
      </w:tr>
      <w:tr w:rsidR="00DB6BDA">
        <w:trPr>
          <w:trHeight w:val="397"/>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sz w:val="20"/>
                <w:szCs w:val="18"/>
              </w:rPr>
            </w:pPr>
          </w:p>
        </w:tc>
        <w:tc>
          <w:tcPr>
            <w:tcW w:w="38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18"/>
              </w:rPr>
            </w:pP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18"/>
              </w:rPr>
            </w:pPr>
          </w:p>
        </w:tc>
      </w:tr>
      <w:tr w:rsidR="00DB6BDA">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b/>
                <w:sz w:val="20"/>
                <w:szCs w:val="18"/>
              </w:rPr>
            </w:pPr>
            <w:r>
              <w:rPr>
                <w:rFonts w:ascii="Garamond" w:hAnsi="Garamond"/>
                <w:b/>
                <w:sz w:val="20"/>
                <w:szCs w:val="18"/>
              </w:rPr>
              <w:t xml:space="preserve">Sede legale </w:t>
            </w:r>
          </w:p>
        </w:tc>
        <w:tc>
          <w:tcPr>
            <w:tcW w:w="2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18"/>
              </w:rPr>
            </w:pPr>
            <w:r>
              <w:rPr>
                <w:rFonts w:ascii="Garamond" w:hAnsi="Garamond"/>
                <w:bCs/>
                <w:sz w:val="20"/>
                <w:szCs w:val="18"/>
              </w:rPr>
              <w:t>Comune</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18"/>
              </w:rPr>
            </w:pPr>
            <w:r>
              <w:rPr>
                <w:rFonts w:ascii="Garamond" w:hAnsi="Garamond"/>
                <w:bCs/>
                <w:sz w:val="20"/>
                <w:szCs w:val="18"/>
              </w:rPr>
              <w:t>CAP</w:t>
            </w:r>
          </w:p>
        </w:tc>
        <w:tc>
          <w:tcPr>
            <w:tcW w:w="29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uppressLineNumbers/>
              <w:snapToGrid w:val="0"/>
              <w:rPr>
                <w:rFonts w:ascii="Garamond" w:hAnsi="Garamond"/>
                <w:bCs/>
                <w:sz w:val="20"/>
                <w:szCs w:val="18"/>
              </w:rPr>
            </w:pPr>
            <w:r>
              <w:rPr>
                <w:rFonts w:ascii="Garamond" w:hAnsi="Garamond"/>
                <w:bCs/>
                <w:sz w:val="20"/>
                <w:szCs w:val="18"/>
              </w:rPr>
              <w:t>Via</w:t>
            </w: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bCs/>
                <w:sz w:val="20"/>
                <w:szCs w:val="18"/>
              </w:rPr>
            </w:pPr>
            <w:r>
              <w:rPr>
                <w:rFonts w:ascii="Garamond" w:hAnsi="Garamond"/>
                <w:bCs/>
                <w:sz w:val="20"/>
                <w:szCs w:val="18"/>
              </w:rPr>
              <w:t>n.</w:t>
            </w:r>
          </w:p>
        </w:tc>
        <w:tc>
          <w:tcPr>
            <w:tcW w:w="721"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bCs/>
                <w:sz w:val="20"/>
                <w:szCs w:val="18"/>
              </w:rPr>
            </w:pPr>
            <w:r>
              <w:rPr>
                <w:rFonts w:ascii="Garamond" w:hAnsi="Garamond"/>
                <w:bCs/>
                <w:sz w:val="20"/>
                <w:szCs w:val="18"/>
              </w:rPr>
              <w:t>Prov.</w:t>
            </w:r>
          </w:p>
        </w:tc>
      </w:tr>
      <w:tr w:rsidR="00DB6BDA">
        <w:trPr>
          <w:trHeight w:val="397"/>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sz w:val="20"/>
                <w:szCs w:val="18"/>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sz w:val="20"/>
                <w:szCs w:val="18"/>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sz w:val="20"/>
                <w:szCs w:val="18"/>
              </w:rPr>
            </w:pPr>
          </w:p>
        </w:tc>
        <w:tc>
          <w:tcPr>
            <w:tcW w:w="29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sz w:val="20"/>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sz w:val="20"/>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sz w:val="20"/>
                <w:szCs w:val="18"/>
              </w:rPr>
            </w:pPr>
          </w:p>
        </w:tc>
      </w:tr>
      <w:tr w:rsidR="00DB6BDA">
        <w:trPr>
          <w:trHeight w:val="283"/>
        </w:trPr>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b/>
                <w:sz w:val="20"/>
                <w:szCs w:val="18"/>
              </w:rPr>
            </w:pPr>
            <w:r>
              <w:rPr>
                <w:rFonts w:ascii="Garamond" w:hAnsi="Garamond"/>
                <w:b/>
                <w:sz w:val="20"/>
                <w:szCs w:val="18"/>
              </w:rPr>
              <w:t>Dati impresa</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sz w:val="20"/>
                <w:szCs w:val="18"/>
              </w:rPr>
            </w:pPr>
            <w:r>
              <w:rPr>
                <w:rFonts w:ascii="Garamond" w:hAnsi="Garamond"/>
                <w:bCs/>
                <w:sz w:val="20"/>
                <w:szCs w:val="18"/>
              </w:rPr>
              <w:t>Codice fiscale</w:t>
            </w:r>
          </w:p>
        </w:tc>
        <w:tc>
          <w:tcPr>
            <w:tcW w:w="5267" w:type="dxa"/>
            <w:gridSpan w:val="5"/>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rPr>
                <w:rFonts w:ascii="Garamond" w:hAnsi="Garamond"/>
                <w:sz w:val="20"/>
                <w:szCs w:val="18"/>
              </w:rPr>
            </w:pPr>
            <w:r>
              <w:rPr>
                <w:rFonts w:ascii="Garamond" w:hAnsi="Garamond"/>
                <w:bCs/>
                <w:sz w:val="20"/>
                <w:szCs w:val="18"/>
              </w:rPr>
              <w:t>Partita IVA</w:t>
            </w:r>
          </w:p>
        </w:tc>
      </w:tr>
      <w:tr w:rsidR="00DB6BDA">
        <w:trPr>
          <w:trHeight w:val="262"/>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sz w:val="20"/>
                <w:szCs w:val="18"/>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18"/>
              </w:rPr>
            </w:pPr>
          </w:p>
        </w:tc>
        <w:tc>
          <w:tcPr>
            <w:tcW w:w="52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459"/>
              <w:rPr>
                <w:rFonts w:ascii="Garamond" w:hAnsi="Garamond"/>
                <w:sz w:val="20"/>
                <w:szCs w:val="18"/>
              </w:rPr>
            </w:pPr>
          </w:p>
        </w:tc>
      </w:tr>
    </w:tbl>
    <w:p w:rsidR="00DB6BDA" w:rsidRDefault="00DB6BDA">
      <w:pPr>
        <w:spacing w:after="120" w:line="276" w:lineRule="auto"/>
        <w:rPr>
          <w:rFonts w:ascii="Garamond" w:eastAsia="Calibri" w:hAnsi="Garamond"/>
          <w:bCs/>
          <w:sz w:val="22"/>
          <w:szCs w:val="22"/>
          <w:lang w:eastAsia="en-US"/>
        </w:rPr>
      </w:pPr>
    </w:p>
    <w:p w:rsidR="00DB6BDA" w:rsidRDefault="00B342CB">
      <w:pPr>
        <w:spacing w:after="200" w:line="276" w:lineRule="auto"/>
      </w:pPr>
      <w:r>
        <w:rPr>
          <w:rFonts w:ascii="Garamond" w:eastAsia="Calibri" w:hAnsi="Garamond"/>
          <w:sz w:val="22"/>
          <w:szCs w:val="22"/>
          <w:lang w:eastAsia="en-US"/>
        </w:rPr>
        <w:t>In relazione a quanto previsto dall’</w:t>
      </w:r>
      <w:r>
        <w:rPr>
          <w:rFonts w:ascii="Garamond" w:eastAsia="Calibri" w:hAnsi="Garamond"/>
          <w:b/>
          <w:sz w:val="22"/>
          <w:szCs w:val="22"/>
          <w:lang w:eastAsia="en-US"/>
        </w:rPr>
        <w:t>Avviso Pubblico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00" w:firstRow="0" w:lastRow="0" w:firstColumn="0" w:lastColumn="0" w:noHBand="0" w:noVBand="0"/>
      </w:tblPr>
      <w:tblGrid>
        <w:gridCol w:w="1443"/>
        <w:gridCol w:w="4998"/>
        <w:gridCol w:w="1959"/>
        <w:gridCol w:w="1228"/>
      </w:tblGrid>
      <w:tr w:rsidR="00DB6BDA">
        <w:trPr>
          <w:trHeight w:val="283"/>
        </w:trPr>
        <w:tc>
          <w:tcPr>
            <w:tcW w:w="14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eastAsia="Calibri" w:hAnsi="Garamond"/>
                <w:b/>
                <w:bCs/>
                <w:sz w:val="20"/>
                <w:szCs w:val="16"/>
                <w:lang w:eastAsia="en-US"/>
              </w:rPr>
            </w:pPr>
            <w:r>
              <w:rPr>
                <w:rFonts w:ascii="Garamond" w:eastAsia="Calibri" w:hAnsi="Garamond"/>
                <w:b/>
                <w:bCs/>
                <w:sz w:val="20"/>
                <w:szCs w:val="18"/>
                <w:lang w:eastAsia="en-US"/>
              </w:rPr>
              <w:t xml:space="preserve">Bando/Avviso </w:t>
            </w:r>
            <w:r>
              <w:rPr>
                <w:rFonts w:ascii="Garamond" w:eastAsia="Calibri" w:hAnsi="Garamond"/>
                <w:b/>
                <w:bCs/>
                <w:sz w:val="20"/>
                <w:szCs w:val="16"/>
                <w:lang w:eastAsia="en-US"/>
              </w:rPr>
              <w:t xml:space="preserve"> </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Titolo:</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
                <w:bCs/>
                <w:sz w:val="20"/>
                <w:szCs w:val="18"/>
              </w:rPr>
            </w:pPr>
            <w:r>
              <w:rPr>
                <w:rFonts w:ascii="Garamond" w:hAnsi="Garamond"/>
                <w:bCs/>
                <w:sz w:val="20"/>
                <w:szCs w:val="18"/>
              </w:rPr>
              <w:t xml:space="preserve">Estremi provvedimento </w:t>
            </w:r>
          </w:p>
        </w:tc>
        <w:tc>
          <w:tcPr>
            <w:tcW w:w="12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Pubblicato in BURP</w:t>
            </w:r>
          </w:p>
        </w:tc>
      </w:tr>
      <w:tr w:rsidR="00DB6BDA">
        <w:trPr>
          <w:trHeight w:val="397"/>
        </w:trPr>
        <w:tc>
          <w:tcPr>
            <w:tcW w:w="144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line="276" w:lineRule="auto"/>
              <w:jc w:val="both"/>
            </w:pPr>
            <w:r>
              <w:rPr>
                <w:rFonts w:ascii="Garamond" w:hAnsi="Garamond"/>
                <w:sz w:val="20"/>
                <w:szCs w:val="20"/>
              </w:rPr>
              <w:t xml:space="preserve">PSR Puglia 2014-2020, Misura 19 Sottomisura </w:t>
            </w:r>
            <w:r>
              <w:rPr>
                <w:rFonts w:ascii="Garamond" w:hAnsi="Garamond"/>
                <w:sz w:val="20"/>
                <w:szCs w:val="20"/>
              </w:rPr>
              <w:t>19.2, STRATEGIA DI SVILUPPO LOCALE 2014 – 2020 GAL Luoghi del Mito e delle Gravine</w:t>
            </w:r>
            <w:r>
              <w:rPr>
                <w:rFonts w:ascii="Garamond" w:hAnsi="Garamond" w:cs="Calibri"/>
                <w:sz w:val="20"/>
                <w:szCs w:val="20"/>
              </w:rPr>
              <w:t xml:space="preserve"> s.c.ar.l. Avviso Pubblico Azione 1</w:t>
            </w:r>
            <w:r>
              <w:rPr>
                <w:rFonts w:ascii="Garamond" w:eastAsia="Calibri" w:hAnsi="Garamond" w:cs="Times New Roman"/>
                <w:sz w:val="20"/>
                <w:szCs w:val="20"/>
                <w:lang w:eastAsia="en-US"/>
              </w:rPr>
              <w:t xml:space="preserve"> - </w:t>
            </w:r>
            <w:r>
              <w:rPr>
                <w:rFonts w:ascii="Garamond" w:eastAsia="Calibri" w:hAnsi="Garamond" w:cs="Tahoma"/>
                <w:sz w:val="20"/>
                <w:szCs w:val="20"/>
                <w:lang w:eastAsia="en-US"/>
              </w:rPr>
              <w:t xml:space="preserve">- “Gravine in rete: dalle reti di interesse alle reti di comunità” - INTERVENTO  </w:t>
            </w:r>
            <w:r>
              <w:rPr>
                <w:rFonts w:ascii="Garamond" w:eastAsia="Calibri" w:hAnsi="Garamond" w:cs="Calibri"/>
                <w:color w:val="000000"/>
                <w:sz w:val="20"/>
                <w:szCs w:val="20"/>
                <w:lang w:eastAsia="en-US"/>
              </w:rPr>
              <w:t xml:space="preserve">1.2 </w:t>
            </w:r>
            <w:r>
              <w:rPr>
                <w:rFonts w:ascii="Garamond" w:eastAsia="Calibri" w:hAnsi="Garamond" w:cs="Times New Roman"/>
                <w:color w:val="000000"/>
                <w:sz w:val="20"/>
                <w:szCs w:val="20"/>
              </w:rPr>
              <w:t xml:space="preserve"> </w:t>
            </w:r>
            <w:r w:rsidR="00B95393" w:rsidRPr="00B95393">
              <w:rPr>
                <w:rFonts w:ascii="Garamond" w:eastAsia="Calibri" w:hAnsi="Garamond" w:cs="Times New Roman"/>
                <w:color w:val="000000"/>
                <w:sz w:val="20"/>
                <w:szCs w:val="20"/>
              </w:rPr>
              <w:t>“La rete dell’ospitalità del Parco Rurale delle Gravine”</w:t>
            </w:r>
          </w:p>
          <w:p w:rsidR="00DB6BDA" w:rsidRDefault="00B342CB">
            <w:pPr>
              <w:spacing w:line="276" w:lineRule="auto"/>
              <w:jc w:val="both"/>
              <w:rPr>
                <w:rFonts w:ascii="Garamond" w:hAnsi="Garamond"/>
                <w:bCs/>
                <w:sz w:val="20"/>
                <w:szCs w:val="18"/>
              </w:rPr>
            </w:pPr>
            <w:r>
              <w:rPr>
                <w:rFonts w:ascii="Garamond" w:hAnsi="Garamond"/>
                <w:bCs/>
                <w:sz w:val="20"/>
                <w:szCs w:val="18"/>
              </w:rPr>
              <w:tab/>
            </w:r>
            <w:r>
              <w:rPr>
                <w:rFonts w:ascii="Garamond" w:hAnsi="Garamond"/>
                <w:bCs/>
                <w:sz w:val="20"/>
                <w:szCs w:val="18"/>
              </w:rPr>
              <w:tab/>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jc w:val="both"/>
              <w:rPr>
                <w:rFonts w:ascii="Garamond" w:hAnsi="Garamond"/>
                <w:bCs/>
                <w:sz w:val="20"/>
                <w:szCs w:val="18"/>
              </w:rPr>
            </w:pPr>
            <w:r w:rsidRPr="00B95393">
              <w:rPr>
                <w:bCs/>
                <w:sz w:val="20"/>
                <w:szCs w:val="18"/>
              </w:rPr>
              <w:t>Delibera Consiglio di Amministrazione GAL Luoghi del Mito e delle Gravine s.c.r.l. del 23/10/2019</w:t>
            </w:r>
          </w:p>
        </w:tc>
        <w:tc>
          <w:tcPr>
            <w:tcW w:w="12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jc w:val="both"/>
              <w:rPr>
                <w:highlight w:val="white"/>
              </w:rPr>
            </w:pPr>
            <w:r>
              <w:rPr>
                <w:bCs/>
                <w:sz w:val="20"/>
                <w:szCs w:val="18"/>
                <w:highlight w:val="white"/>
              </w:rPr>
              <w:t xml:space="preserve">n.  del </w:t>
            </w:r>
          </w:p>
        </w:tc>
      </w:tr>
    </w:tbl>
    <w:p w:rsidR="00DB6BDA" w:rsidRDefault="00DB6BDA">
      <w:pPr>
        <w:spacing w:after="200" w:line="276" w:lineRule="auto"/>
        <w:rPr>
          <w:rFonts w:ascii="Garamond" w:eastAsia="Calibri" w:hAnsi="Garamond"/>
          <w:b/>
          <w:sz w:val="22"/>
          <w:szCs w:val="22"/>
          <w:lang w:eastAsia="en-US"/>
        </w:rPr>
      </w:pPr>
    </w:p>
    <w:p w:rsidR="00DB6BDA" w:rsidRDefault="00B342CB">
      <w:pPr>
        <w:spacing w:after="200" w:line="276" w:lineRule="auto"/>
        <w:jc w:val="both"/>
        <w:rPr>
          <w:rFonts w:ascii="Garamond" w:eastAsia="Calibri" w:hAnsi="Garamond"/>
          <w:bCs/>
          <w:sz w:val="22"/>
          <w:szCs w:val="22"/>
          <w:lang w:eastAsia="en-US"/>
        </w:rPr>
      </w:pPr>
      <w:r>
        <w:rPr>
          <w:rFonts w:ascii="Garamond" w:eastAsia="Calibri" w:hAnsi="Garamond"/>
          <w:b/>
          <w:sz w:val="22"/>
          <w:szCs w:val="22"/>
          <w:lang w:eastAsia="en-US"/>
        </w:rPr>
        <w:t xml:space="preserve">Per la concessione di aiuti </w:t>
      </w:r>
      <w:r>
        <w:rPr>
          <w:rFonts w:ascii="Garamond" w:eastAsia="Calibri" w:hAnsi="Garamond"/>
          <w:sz w:val="22"/>
          <w:szCs w:val="22"/>
          <w:lang w:eastAsia="en-US"/>
        </w:rPr>
        <w:t>‘</w:t>
      </w:r>
      <w:r>
        <w:rPr>
          <w:rFonts w:ascii="Garamond" w:eastAsia="Calibri" w:hAnsi="Garamond"/>
          <w:i/>
          <w:sz w:val="22"/>
          <w:szCs w:val="22"/>
          <w:lang w:eastAsia="en-US"/>
        </w:rPr>
        <w:t>de minimis’</w:t>
      </w:r>
      <w:r>
        <w:rPr>
          <w:rFonts w:ascii="Garamond" w:eastAsia="Calibri" w:hAnsi="Garamond"/>
          <w:b/>
          <w:sz w:val="22"/>
          <w:szCs w:val="22"/>
          <w:lang w:eastAsia="en-US"/>
        </w:rPr>
        <w:t xml:space="preserve"> di cui al Regolamento (UE) n. 1407/2013 </w:t>
      </w:r>
      <w:r>
        <w:rPr>
          <w:rFonts w:ascii="Garamond" w:eastAsia="Calibri" w:hAnsi="Garamond"/>
          <w:sz w:val="22"/>
          <w:szCs w:val="22"/>
          <w:lang w:eastAsia="en-US"/>
        </w:rPr>
        <w:t xml:space="preserve">della Commissione del 18 </w:t>
      </w:r>
      <w:r>
        <w:rPr>
          <w:rFonts w:ascii="Garamond" w:eastAsia="Calibri" w:hAnsi="Garamond"/>
          <w:sz w:val="22"/>
          <w:szCs w:val="22"/>
          <w:lang w:eastAsia="en-US"/>
        </w:rPr>
        <w:t>dicembre 2013 (</w:t>
      </w:r>
      <w:r>
        <w:rPr>
          <w:rFonts w:ascii="Garamond" w:eastAsia="Calibri" w:hAnsi="Garamond"/>
          <w:bCs/>
          <w:sz w:val="22"/>
          <w:szCs w:val="22"/>
          <w:lang w:eastAsia="en-US"/>
        </w:rPr>
        <w:t xml:space="preserve">pubblicato sulla Gazzetta ufficiale dell’Unione europea n. L.352 / del 24 dicembre 2013), </w:t>
      </w:r>
    </w:p>
    <w:p w:rsidR="00DB6BDA" w:rsidRDefault="00B342CB">
      <w:pPr>
        <w:spacing w:after="200" w:line="276" w:lineRule="auto"/>
        <w:jc w:val="both"/>
        <w:rPr>
          <w:rFonts w:ascii="Garamond" w:hAnsi="Garamond"/>
          <w:color w:val="000000"/>
          <w:sz w:val="22"/>
          <w:szCs w:val="22"/>
        </w:rPr>
      </w:pPr>
      <w:r>
        <w:rPr>
          <w:rFonts w:ascii="Garamond" w:hAnsi="Garamond"/>
          <w:color w:val="000000"/>
          <w:sz w:val="22"/>
          <w:szCs w:val="22"/>
        </w:rPr>
        <w:t>nel rispetto di quanto previsto dai seguenti Regolamenti della Commissione:</w:t>
      </w:r>
    </w:p>
    <w:p w:rsidR="00DB6BDA" w:rsidRDefault="00B342CB">
      <w:pPr>
        <w:numPr>
          <w:ilvl w:val="0"/>
          <w:numId w:val="4"/>
        </w:numPr>
        <w:spacing w:line="276" w:lineRule="auto"/>
        <w:ind w:left="714" w:hanging="357"/>
        <w:contextualSpacing/>
        <w:jc w:val="both"/>
        <w:rPr>
          <w:rFonts w:ascii="Garamond" w:hAnsi="Garamond"/>
          <w:color w:val="000000"/>
          <w:sz w:val="22"/>
          <w:szCs w:val="22"/>
        </w:rPr>
      </w:pPr>
      <w:r>
        <w:rPr>
          <w:rFonts w:ascii="Garamond" w:hAnsi="Garamond"/>
          <w:color w:val="000000"/>
          <w:sz w:val="22"/>
          <w:szCs w:val="22"/>
        </w:rPr>
        <w:t>Regolamento n. 1407/2013 ‘</w:t>
      </w:r>
      <w:r>
        <w:rPr>
          <w:rFonts w:ascii="Garamond" w:hAnsi="Garamond"/>
          <w:i/>
          <w:color w:val="000000"/>
          <w:sz w:val="22"/>
          <w:szCs w:val="22"/>
        </w:rPr>
        <w:t>de minimis’</w:t>
      </w:r>
      <w:r>
        <w:rPr>
          <w:rFonts w:ascii="Garamond" w:hAnsi="Garamond"/>
          <w:color w:val="000000"/>
          <w:sz w:val="22"/>
          <w:szCs w:val="22"/>
        </w:rPr>
        <w:t xml:space="preserve"> generale</w:t>
      </w:r>
    </w:p>
    <w:p w:rsidR="00DB6BDA" w:rsidRDefault="00B342CB">
      <w:pPr>
        <w:numPr>
          <w:ilvl w:val="0"/>
          <w:numId w:val="4"/>
        </w:numPr>
        <w:spacing w:line="276" w:lineRule="auto"/>
        <w:ind w:left="714" w:hanging="357"/>
        <w:contextualSpacing/>
        <w:jc w:val="both"/>
        <w:rPr>
          <w:rFonts w:ascii="Garamond" w:hAnsi="Garamond"/>
          <w:color w:val="000000"/>
          <w:sz w:val="22"/>
          <w:szCs w:val="22"/>
        </w:rPr>
      </w:pPr>
      <w:r>
        <w:rPr>
          <w:rFonts w:ascii="Garamond" w:hAnsi="Garamond"/>
          <w:color w:val="000000"/>
          <w:sz w:val="22"/>
          <w:szCs w:val="22"/>
        </w:rPr>
        <w:t>Regolamento n. 1408/2013 ‘</w:t>
      </w:r>
      <w:r>
        <w:rPr>
          <w:rFonts w:ascii="Garamond" w:hAnsi="Garamond"/>
          <w:i/>
          <w:color w:val="000000"/>
          <w:sz w:val="22"/>
          <w:szCs w:val="22"/>
        </w:rPr>
        <w:t>de minimis’</w:t>
      </w:r>
      <w:r>
        <w:rPr>
          <w:rFonts w:ascii="Garamond" w:hAnsi="Garamond"/>
          <w:color w:val="000000"/>
          <w:sz w:val="22"/>
          <w:szCs w:val="22"/>
        </w:rPr>
        <w:t xml:space="preserve"> nel settore agricolo</w:t>
      </w:r>
    </w:p>
    <w:p w:rsidR="00DB6BDA" w:rsidRDefault="00B342CB">
      <w:pPr>
        <w:numPr>
          <w:ilvl w:val="0"/>
          <w:numId w:val="4"/>
        </w:numPr>
        <w:spacing w:line="276" w:lineRule="auto"/>
        <w:ind w:left="714" w:hanging="357"/>
        <w:contextualSpacing/>
        <w:jc w:val="both"/>
        <w:rPr>
          <w:rFonts w:ascii="Garamond" w:hAnsi="Garamond"/>
          <w:color w:val="000000"/>
          <w:sz w:val="22"/>
          <w:szCs w:val="22"/>
        </w:rPr>
      </w:pPr>
      <w:r>
        <w:rPr>
          <w:rFonts w:ascii="Garamond" w:hAnsi="Garamond"/>
          <w:color w:val="000000"/>
          <w:sz w:val="22"/>
          <w:szCs w:val="22"/>
        </w:rPr>
        <w:t>Regolamento n. 717/2014 ‘</w:t>
      </w:r>
      <w:r>
        <w:rPr>
          <w:rFonts w:ascii="Garamond" w:hAnsi="Garamond"/>
          <w:i/>
          <w:color w:val="000000"/>
          <w:sz w:val="22"/>
          <w:szCs w:val="22"/>
        </w:rPr>
        <w:t>de minimis’</w:t>
      </w:r>
      <w:r>
        <w:rPr>
          <w:rFonts w:ascii="Garamond" w:hAnsi="Garamond"/>
          <w:color w:val="000000"/>
          <w:sz w:val="22"/>
          <w:szCs w:val="22"/>
        </w:rPr>
        <w:t xml:space="preserve"> nel settore pesca </w:t>
      </w:r>
    </w:p>
    <w:p w:rsidR="00DB6BDA" w:rsidRDefault="00B342CB">
      <w:pPr>
        <w:numPr>
          <w:ilvl w:val="0"/>
          <w:numId w:val="4"/>
        </w:numPr>
        <w:spacing w:after="120" w:line="276" w:lineRule="auto"/>
        <w:ind w:left="714" w:hanging="357"/>
        <w:jc w:val="both"/>
        <w:rPr>
          <w:rFonts w:ascii="Garamond" w:hAnsi="Garamond"/>
          <w:color w:val="000000"/>
          <w:sz w:val="22"/>
          <w:szCs w:val="22"/>
        </w:rPr>
      </w:pPr>
      <w:r>
        <w:rPr>
          <w:rFonts w:ascii="Garamond" w:hAnsi="Garamond"/>
          <w:color w:val="000000"/>
          <w:sz w:val="22"/>
          <w:szCs w:val="22"/>
        </w:rPr>
        <w:t>Regolamento n. 360/2012 ‘</w:t>
      </w:r>
      <w:r>
        <w:rPr>
          <w:rFonts w:ascii="Garamond" w:hAnsi="Garamond"/>
          <w:i/>
          <w:color w:val="000000"/>
          <w:sz w:val="22"/>
          <w:szCs w:val="22"/>
        </w:rPr>
        <w:t>de minimis’</w:t>
      </w:r>
      <w:r>
        <w:rPr>
          <w:rFonts w:ascii="Garamond" w:hAnsi="Garamond"/>
          <w:color w:val="000000"/>
          <w:sz w:val="22"/>
          <w:szCs w:val="22"/>
        </w:rPr>
        <w:t xml:space="preserve"> SIEG</w:t>
      </w:r>
    </w:p>
    <w:p w:rsidR="00DB6BDA" w:rsidRDefault="00B342CB">
      <w:pPr>
        <w:spacing w:after="200" w:line="276" w:lineRule="auto"/>
        <w:jc w:val="both"/>
        <w:rPr>
          <w:rFonts w:ascii="Garamond" w:eastAsia="Calibri" w:hAnsi="Garamond"/>
          <w:sz w:val="22"/>
          <w:szCs w:val="22"/>
          <w:lang w:eastAsia="en-US"/>
        </w:rPr>
      </w:pPr>
      <w:r>
        <w:rPr>
          <w:rFonts w:ascii="Garamond" w:eastAsia="Calibri" w:hAnsi="Garamond"/>
          <w:b/>
          <w:sz w:val="22"/>
          <w:szCs w:val="22"/>
          <w:lang w:eastAsia="en-US"/>
        </w:rPr>
        <w:t>PRESA VISIONE</w:t>
      </w:r>
      <w:r>
        <w:rPr>
          <w:rFonts w:ascii="Garamond" w:eastAsia="Calibri" w:hAnsi="Garamond"/>
          <w:sz w:val="22"/>
          <w:szCs w:val="22"/>
          <w:lang w:eastAsia="en-US"/>
        </w:rPr>
        <w:t xml:space="preserve"> delle </w:t>
      </w:r>
      <w:r>
        <w:rPr>
          <w:rFonts w:ascii="Garamond" w:eastAsia="Calibri" w:hAnsi="Garamond"/>
          <w:b/>
          <w:sz w:val="22"/>
          <w:szCs w:val="22"/>
          <w:lang w:eastAsia="en-US"/>
        </w:rPr>
        <w:t>istruzioni per la predisposizione della presente dichiarazione in calce alla presente dichiarazione</w:t>
      </w:r>
      <w:r>
        <w:rPr>
          <w:rFonts w:ascii="Garamond" w:eastAsia="Calibri" w:hAnsi="Garamond"/>
          <w:sz w:val="22"/>
          <w:szCs w:val="22"/>
          <w:lang w:eastAsia="en-US"/>
        </w:rPr>
        <w:t>;</w:t>
      </w:r>
    </w:p>
    <w:p w:rsidR="00DB6BDA" w:rsidRDefault="00B342CB">
      <w:pPr>
        <w:spacing w:after="240" w:line="276" w:lineRule="auto"/>
        <w:jc w:val="both"/>
      </w:pPr>
      <w:r>
        <w:rPr>
          <w:rFonts w:ascii="Garamond" w:eastAsia="Calibri" w:hAnsi="Garamond"/>
          <w:b/>
          <w:spacing w:val="-6"/>
          <w:sz w:val="22"/>
          <w:szCs w:val="22"/>
          <w:lang w:eastAsia="en-US"/>
        </w:rPr>
        <w:t>CONSAPEVOLE delle responsabilità anche penali assunte</w:t>
      </w:r>
      <w:r>
        <w:rPr>
          <w:rFonts w:ascii="Garamond" w:eastAsia="Calibri" w:hAnsi="Garamond"/>
          <w:spacing w:val="-6"/>
          <w:sz w:val="22"/>
          <w:szCs w:val="22"/>
          <w:lang w:eastAsia="en-US"/>
        </w:rPr>
        <w:t xml:space="preserve"> in caso di rilascio di dichiarazioni mendaci, formazione di atti falsi e loro uso, </w:t>
      </w:r>
      <w:r>
        <w:rPr>
          <w:rFonts w:ascii="Garamond" w:eastAsia="Calibri" w:hAnsi="Garamond"/>
          <w:b/>
          <w:spacing w:val="-6"/>
          <w:sz w:val="22"/>
          <w:szCs w:val="22"/>
          <w:lang w:eastAsia="en-US"/>
        </w:rPr>
        <w:t>e della conseguente decadenza dai benefici concessi</w:t>
      </w:r>
      <w:r>
        <w:rPr>
          <w:rFonts w:ascii="Garamond" w:eastAsia="Calibri" w:hAnsi="Garamond"/>
          <w:spacing w:val="-6"/>
          <w:sz w:val="22"/>
          <w:szCs w:val="22"/>
          <w:lang w:eastAsia="en-US"/>
        </w:rPr>
        <w:t xml:space="preserve"> sulla base di una dichiarazione non veritiera, ai sensi degli artic</w:t>
      </w:r>
      <w:r>
        <w:rPr>
          <w:rFonts w:ascii="Garamond" w:eastAsia="Calibri" w:hAnsi="Garamond"/>
          <w:spacing w:val="-6"/>
          <w:sz w:val="22"/>
          <w:szCs w:val="22"/>
          <w:lang w:eastAsia="en-US"/>
        </w:rPr>
        <w:t xml:space="preserve">oli </w:t>
      </w:r>
      <w:hyperlink r:id="rId8">
        <w:r>
          <w:rPr>
            <w:rStyle w:val="ListLabel28"/>
          </w:rPr>
          <w:t>75</w:t>
        </w:r>
      </w:hyperlink>
      <w:r>
        <w:rPr>
          <w:rFonts w:ascii="Garamond" w:eastAsia="Calibri" w:hAnsi="Garamond"/>
          <w:spacing w:val="-6"/>
          <w:sz w:val="22"/>
          <w:szCs w:val="22"/>
          <w:lang w:eastAsia="en-US"/>
        </w:rPr>
        <w:t xml:space="preserve"> e </w:t>
      </w:r>
      <w:hyperlink r:id="rId9">
        <w:r>
          <w:rPr>
            <w:rStyle w:val="ListLabel28"/>
          </w:rPr>
          <w:t>76</w:t>
        </w:r>
      </w:hyperlink>
      <w:r>
        <w:rPr>
          <w:rFonts w:ascii="Garamond" w:eastAsia="Calibri" w:hAnsi="Garamond"/>
          <w:spacing w:val="-6"/>
          <w:sz w:val="22"/>
          <w:szCs w:val="22"/>
          <w:lang w:eastAsia="en-US"/>
        </w:rPr>
        <w:t xml:space="preserve"> del </w:t>
      </w:r>
      <w:hyperlink r:id="rId10">
        <w:r>
          <w:rPr>
            <w:rStyle w:val="ListLabel28"/>
          </w:rPr>
          <w:t>decreto del Presidente della Repubblica 28 dicembre 2000, n. 445</w:t>
        </w:r>
      </w:hyperlink>
      <w:r>
        <w:rPr>
          <w:rFonts w:ascii="Garamond" w:eastAsia="Calibri" w:hAnsi="Garamond"/>
          <w:sz w:val="22"/>
          <w:szCs w:val="22"/>
          <w:lang w:eastAsia="en-US"/>
        </w:rPr>
        <w:t xml:space="preserve"> </w:t>
      </w:r>
      <w:r>
        <w:rPr>
          <w:rFonts w:ascii="Garamond" w:eastAsia="Calibri" w:hAnsi="Garamond"/>
          <w:i/>
          <w:spacing w:val="-6"/>
          <w:sz w:val="22"/>
          <w:szCs w:val="22"/>
          <w:lang w:eastAsia="en-US"/>
        </w:rPr>
        <w:t>(Testo unico delle disposizioni legislative e regolamentari in materia di documentazione amministrativa)</w:t>
      </w:r>
      <w:r>
        <w:rPr>
          <w:rFonts w:ascii="Garamond" w:eastAsia="Calibri" w:hAnsi="Garamond"/>
          <w:spacing w:val="-6"/>
          <w:sz w:val="22"/>
          <w:szCs w:val="22"/>
          <w:lang w:eastAsia="en-US"/>
        </w:rPr>
        <w:t>;</w:t>
      </w:r>
    </w:p>
    <w:p w:rsidR="00DB6BDA" w:rsidRDefault="00B342CB">
      <w:pPr>
        <w:spacing w:before="120" w:after="200" w:line="276" w:lineRule="auto"/>
        <w:jc w:val="center"/>
        <w:rPr>
          <w:rFonts w:ascii="Garamond" w:eastAsia="Calibri" w:hAnsi="Garamond"/>
          <w:b/>
          <w:bCs/>
          <w:sz w:val="22"/>
          <w:szCs w:val="22"/>
          <w:lang w:eastAsia="en-US"/>
        </w:rPr>
      </w:pPr>
      <w:r>
        <w:rPr>
          <w:rFonts w:ascii="Garamond" w:eastAsia="Calibri" w:hAnsi="Garamond"/>
          <w:b/>
          <w:bCs/>
          <w:sz w:val="22"/>
          <w:szCs w:val="22"/>
          <w:lang w:eastAsia="en-US"/>
        </w:rPr>
        <w:t>DICHIARA</w:t>
      </w:r>
    </w:p>
    <w:p w:rsidR="00DB6BDA" w:rsidRDefault="00B342CB">
      <w:pPr>
        <w:spacing w:after="200" w:line="276" w:lineRule="auto"/>
        <w:jc w:val="both"/>
        <w:rPr>
          <w:rFonts w:ascii="Garamond" w:eastAsia="Calibri" w:hAnsi="Garamond"/>
          <w:bCs/>
          <w:sz w:val="22"/>
          <w:szCs w:val="22"/>
          <w:u w:val="single"/>
          <w:lang w:eastAsia="en-US"/>
        </w:rPr>
      </w:pPr>
      <w:r>
        <w:rPr>
          <w:rFonts w:ascii="Garamond" w:eastAsia="Calibri" w:hAnsi="Garamond"/>
          <w:bCs/>
          <w:sz w:val="22"/>
          <w:szCs w:val="22"/>
          <w:u w:val="single"/>
          <w:lang w:eastAsia="en-US"/>
        </w:rPr>
        <w:t xml:space="preserve">Sezione A – Natura dell’impresa </w:t>
      </w:r>
    </w:p>
    <w:p w:rsidR="00DB6BDA" w:rsidRDefault="00B342CB">
      <w:pPr>
        <w:spacing w:after="200" w:line="276" w:lineRule="auto"/>
        <w:jc w:val="both"/>
      </w:pPr>
      <w:r>
        <w:rPr>
          <w:rFonts w:ascii="Segoe UI Symbol" w:eastAsia="MS Gothic" w:hAnsi="Segoe UI Symbol" w:cs="Segoe UI Symbol"/>
          <w:color w:val="000000"/>
          <w:sz w:val="22"/>
          <w:szCs w:val="22"/>
        </w:rPr>
        <w:t>☐</w:t>
      </w:r>
      <w:r>
        <w:rPr>
          <w:rFonts w:ascii="Garamond" w:hAnsi="Garamond"/>
          <w:color w:val="000000"/>
          <w:sz w:val="32"/>
          <w:szCs w:val="22"/>
        </w:rPr>
        <w:t xml:space="preserve"> </w:t>
      </w:r>
      <w:r>
        <w:rPr>
          <w:rFonts w:ascii="Garamond" w:hAnsi="Garamond"/>
          <w:color w:val="000000"/>
          <w:sz w:val="22"/>
          <w:szCs w:val="22"/>
        </w:rPr>
        <w:t xml:space="preserve">che </w:t>
      </w:r>
      <w:r>
        <w:rPr>
          <w:rFonts w:ascii="Garamond" w:hAnsi="Garamond"/>
          <w:b/>
          <w:color w:val="000000"/>
          <w:sz w:val="22"/>
          <w:szCs w:val="22"/>
        </w:rPr>
        <w:t>l’impresa non è controllata né controlla</w:t>
      </w:r>
      <w:r>
        <w:rPr>
          <w:rFonts w:ascii="Garamond" w:hAnsi="Garamond"/>
          <w:color w:val="000000"/>
          <w:sz w:val="22"/>
          <w:szCs w:val="22"/>
        </w:rPr>
        <w:t>, direttamente o indirettamente</w:t>
      </w:r>
      <w:r>
        <w:rPr>
          <w:rStyle w:val="Richiamoallanotaapidipagina"/>
          <w:rFonts w:ascii="Garamond" w:hAnsi="Garamond"/>
          <w:color w:val="000000"/>
          <w:sz w:val="22"/>
          <w:szCs w:val="20"/>
        </w:rPr>
        <w:footnoteReference w:id="2"/>
      </w:r>
      <w:r>
        <w:rPr>
          <w:rFonts w:ascii="Garamond" w:hAnsi="Garamond"/>
          <w:color w:val="000000"/>
          <w:sz w:val="22"/>
          <w:szCs w:val="22"/>
        </w:rPr>
        <w:t>, altre imprese.</w:t>
      </w:r>
    </w:p>
    <w:p w:rsidR="00DB6BDA" w:rsidRDefault="00B342CB">
      <w:pPr>
        <w:spacing w:after="200" w:line="276" w:lineRule="auto"/>
        <w:jc w:val="both"/>
        <w:rPr>
          <w:rFonts w:ascii="Garamond" w:hAnsi="Garamond"/>
          <w:color w:val="000000"/>
          <w:sz w:val="22"/>
          <w:szCs w:val="20"/>
        </w:rPr>
      </w:pPr>
      <w:r>
        <w:rPr>
          <w:rFonts w:ascii="Segoe UI Symbol" w:eastAsia="MS Gothic" w:hAnsi="Segoe UI Symbol" w:cs="Segoe UI Symbol"/>
          <w:color w:val="000000"/>
          <w:sz w:val="22"/>
          <w:szCs w:val="22"/>
        </w:rPr>
        <w:t>☐</w:t>
      </w:r>
      <w:r>
        <w:rPr>
          <w:rFonts w:ascii="Garamond" w:hAnsi="Garamond"/>
          <w:color w:val="000000"/>
          <w:sz w:val="22"/>
          <w:szCs w:val="22"/>
        </w:rPr>
        <w:t xml:space="preserve"> che</w:t>
      </w:r>
      <w:r>
        <w:rPr>
          <w:rFonts w:ascii="Garamond" w:hAnsi="Garamond"/>
          <w:color w:val="000000"/>
          <w:sz w:val="22"/>
          <w:szCs w:val="20"/>
        </w:rPr>
        <w:t xml:space="preserve"> </w:t>
      </w:r>
      <w:r>
        <w:rPr>
          <w:rFonts w:ascii="Garamond" w:hAnsi="Garamond"/>
          <w:b/>
          <w:color w:val="000000"/>
          <w:sz w:val="22"/>
          <w:szCs w:val="20"/>
        </w:rPr>
        <w:t>l’impresa controlla</w:t>
      </w:r>
      <w:r>
        <w:rPr>
          <w:rFonts w:ascii="Garamond" w:hAnsi="Garamond"/>
          <w:color w:val="000000"/>
          <w:sz w:val="22"/>
          <w:szCs w:val="20"/>
        </w:rPr>
        <w:t xml:space="preserve">, anche indirettamente, le imprese seguenti aventi sede legale in Italia: </w:t>
      </w:r>
    </w:p>
    <w:p w:rsidR="00DB6BDA" w:rsidRDefault="00B342CB">
      <w:pPr>
        <w:spacing w:after="200" w:line="276" w:lineRule="auto"/>
        <w:jc w:val="both"/>
        <w:rPr>
          <w:rFonts w:ascii="Garamond" w:hAnsi="Garamond"/>
          <w:color w:val="000000"/>
          <w:sz w:val="22"/>
          <w:szCs w:val="22"/>
        </w:rPr>
      </w:pPr>
      <w:r>
        <w:rPr>
          <w:rFonts w:ascii="Garamond" w:hAnsi="Garamond"/>
          <w:i/>
          <w:color w:val="000000"/>
          <w:sz w:val="22"/>
          <w:szCs w:val="20"/>
        </w:rPr>
        <w:t>(</w:t>
      </w:r>
      <w:r>
        <w:rPr>
          <w:rFonts w:ascii="Garamond" w:hAnsi="Garamond"/>
          <w:i/>
          <w:iCs/>
          <w:color w:val="000000"/>
          <w:sz w:val="22"/>
          <w:szCs w:val="20"/>
        </w:rPr>
        <w:t xml:space="preserve">Ragione sociale e dati </w:t>
      </w:r>
      <w:r>
        <w:rPr>
          <w:rFonts w:ascii="Garamond" w:hAnsi="Garamond"/>
          <w:i/>
          <w:iCs/>
          <w:color w:val="000000"/>
          <w:sz w:val="22"/>
          <w:szCs w:val="20"/>
        </w:rPr>
        <w:t>anagrafici</w:t>
      </w:r>
      <w:r>
        <w:rPr>
          <w:rFonts w:ascii="Garamond" w:hAnsi="Garamond"/>
          <w:i/>
          <w:color w:val="000000"/>
          <w:sz w:val="22"/>
          <w:szCs w:val="20"/>
        </w:rPr>
        <w:t>) (ripetere tabella se necessario)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00" w:firstRow="0" w:lastRow="0" w:firstColumn="0" w:lastColumn="0" w:noHBand="0" w:noVBand="0"/>
      </w:tblPr>
      <w:tblGrid>
        <w:gridCol w:w="1721"/>
        <w:gridCol w:w="2646"/>
        <w:gridCol w:w="1158"/>
        <w:gridCol w:w="2903"/>
        <w:gridCol w:w="479"/>
        <w:gridCol w:w="721"/>
      </w:tblGrid>
      <w:tr w:rsidR="00DB6BDA">
        <w:trPr>
          <w:trHeight w:val="397"/>
        </w:trPr>
        <w:tc>
          <w:tcPr>
            <w:tcW w:w="963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rPr>
                <w:rFonts w:ascii="Garamond" w:hAnsi="Garamond"/>
                <w:bCs/>
                <w:sz w:val="20"/>
                <w:szCs w:val="18"/>
              </w:rPr>
            </w:pPr>
            <w:r>
              <w:rPr>
                <w:rFonts w:ascii="Garamond" w:hAnsi="Garamond"/>
                <w:b/>
                <w:bCs/>
                <w:sz w:val="20"/>
                <w:szCs w:val="18"/>
              </w:rPr>
              <w:lastRenderedPageBreak/>
              <w:t>Anagrafica impresa controllata</w:t>
            </w:r>
          </w:p>
        </w:tc>
      </w:tr>
      <w:tr w:rsidR="00DB6BDA">
        <w:trPr>
          <w:trHeight w:val="283"/>
        </w:trPr>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
                <w:bCs/>
                <w:sz w:val="20"/>
                <w:szCs w:val="18"/>
              </w:rPr>
            </w:pPr>
            <w:r>
              <w:rPr>
                <w:rFonts w:ascii="Garamond" w:hAnsi="Garamond"/>
                <w:b/>
                <w:bCs/>
                <w:sz w:val="20"/>
                <w:szCs w:val="18"/>
              </w:rPr>
              <w:t xml:space="preserve">Impresa </w:t>
            </w:r>
          </w:p>
        </w:tc>
        <w:tc>
          <w:tcPr>
            <w:tcW w:w="3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 xml:space="preserve">Denominazione/Ragione sociale dell’impresa </w:t>
            </w:r>
          </w:p>
        </w:tc>
        <w:tc>
          <w:tcPr>
            <w:tcW w:w="410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
                <w:bCs/>
                <w:sz w:val="20"/>
                <w:szCs w:val="18"/>
              </w:rPr>
            </w:pPr>
            <w:r>
              <w:rPr>
                <w:rFonts w:ascii="Garamond" w:hAnsi="Garamond"/>
                <w:bCs/>
                <w:sz w:val="20"/>
                <w:szCs w:val="18"/>
              </w:rPr>
              <w:t>Forma giuridica</w:t>
            </w:r>
          </w:p>
        </w:tc>
      </w:tr>
      <w:tr w:rsidR="00DB6BDA">
        <w:trPr>
          <w:trHeight w:val="397"/>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3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bCs/>
                <w:sz w:val="20"/>
                <w:szCs w:val="18"/>
              </w:rPr>
            </w:pPr>
          </w:p>
        </w:tc>
        <w:tc>
          <w:tcPr>
            <w:tcW w:w="410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Cs/>
                <w:sz w:val="20"/>
                <w:szCs w:val="18"/>
              </w:rPr>
            </w:pPr>
          </w:p>
        </w:tc>
      </w:tr>
      <w:tr w:rsidR="00DB6BDA">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
                <w:sz w:val="20"/>
                <w:szCs w:val="18"/>
              </w:rPr>
            </w:pPr>
            <w:r>
              <w:rPr>
                <w:rFonts w:ascii="Garamond" w:hAnsi="Garamond"/>
                <w:b/>
                <w:sz w:val="20"/>
                <w:szCs w:val="18"/>
              </w:rPr>
              <w:t xml:space="preserve">Sede legale </w:t>
            </w: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Comune</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CAP</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Via</w:t>
            </w: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Cs/>
                <w:sz w:val="20"/>
                <w:szCs w:val="18"/>
              </w:rPr>
            </w:pPr>
            <w:r>
              <w:rPr>
                <w:rFonts w:ascii="Garamond" w:hAnsi="Garamond"/>
                <w:bCs/>
                <w:sz w:val="20"/>
                <w:szCs w:val="18"/>
              </w:rPr>
              <w:t>n.</w:t>
            </w:r>
          </w:p>
        </w:tc>
        <w:tc>
          <w:tcPr>
            <w:tcW w:w="721"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Cs/>
                <w:sz w:val="20"/>
                <w:szCs w:val="18"/>
              </w:rPr>
            </w:pPr>
            <w:r>
              <w:rPr>
                <w:rFonts w:ascii="Garamond" w:hAnsi="Garamond"/>
                <w:bCs/>
                <w:sz w:val="20"/>
                <w:szCs w:val="18"/>
              </w:rPr>
              <w:t>Prov.</w:t>
            </w:r>
          </w:p>
        </w:tc>
      </w:tr>
      <w:tr w:rsidR="00DB6BDA">
        <w:trPr>
          <w:trHeight w:val="397"/>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r>
      <w:tr w:rsidR="00DB6BDA">
        <w:trPr>
          <w:trHeight w:val="283"/>
        </w:trPr>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
                <w:sz w:val="20"/>
                <w:szCs w:val="18"/>
              </w:rPr>
            </w:pPr>
            <w:r>
              <w:rPr>
                <w:rFonts w:ascii="Garamond" w:hAnsi="Garamond"/>
                <w:b/>
                <w:sz w:val="20"/>
                <w:szCs w:val="18"/>
              </w:rPr>
              <w:t>Dati impresa</w:t>
            </w:r>
          </w:p>
        </w:tc>
        <w:tc>
          <w:tcPr>
            <w:tcW w:w="2648"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sz w:val="20"/>
                <w:szCs w:val="18"/>
              </w:rPr>
            </w:pPr>
            <w:r>
              <w:rPr>
                <w:rFonts w:ascii="Garamond" w:hAnsi="Garamond"/>
                <w:bCs/>
                <w:sz w:val="20"/>
                <w:szCs w:val="18"/>
              </w:rPr>
              <w:t>Codice fiscale</w:t>
            </w:r>
          </w:p>
        </w:tc>
        <w:tc>
          <w:tcPr>
            <w:tcW w:w="5266" w:type="dxa"/>
            <w:gridSpan w:val="4"/>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sz w:val="20"/>
                <w:szCs w:val="18"/>
              </w:rPr>
            </w:pPr>
            <w:r>
              <w:rPr>
                <w:rFonts w:ascii="Garamond" w:hAnsi="Garamond"/>
                <w:bCs/>
                <w:sz w:val="20"/>
                <w:szCs w:val="18"/>
              </w:rPr>
              <w:t>Partita IVA</w:t>
            </w:r>
          </w:p>
        </w:tc>
      </w:tr>
      <w:tr w:rsidR="00DB6BDA">
        <w:trPr>
          <w:trHeight w:val="357"/>
        </w:trPr>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Cs/>
                <w:sz w:val="20"/>
                <w:szCs w:val="18"/>
              </w:rPr>
            </w:pPr>
          </w:p>
        </w:tc>
        <w:tc>
          <w:tcPr>
            <w:tcW w:w="526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r>
    </w:tbl>
    <w:p w:rsidR="00DB6BDA" w:rsidRDefault="00DB6BDA">
      <w:pPr>
        <w:spacing w:after="200" w:line="276" w:lineRule="auto"/>
        <w:rPr>
          <w:rFonts w:ascii="Garamond" w:hAnsi="Garamond"/>
          <w:color w:val="000000"/>
          <w:sz w:val="22"/>
          <w:szCs w:val="22"/>
        </w:rPr>
      </w:pPr>
    </w:p>
    <w:p w:rsidR="00DB6BDA" w:rsidRDefault="00B342CB">
      <w:pPr>
        <w:spacing w:after="200" w:line="276" w:lineRule="auto"/>
        <w:jc w:val="both"/>
      </w:pPr>
      <w:r>
        <w:rPr>
          <w:rFonts w:ascii="Segoe UI Symbol" w:eastAsia="MS Gothic" w:hAnsi="Segoe UI Symbol" w:cs="Segoe UI Symbol"/>
          <w:color w:val="000000"/>
          <w:sz w:val="22"/>
          <w:szCs w:val="22"/>
        </w:rPr>
        <w:t>☐</w:t>
      </w:r>
      <w:r>
        <w:rPr>
          <w:rFonts w:ascii="Garamond" w:hAnsi="Garamond"/>
          <w:color w:val="000000"/>
          <w:sz w:val="22"/>
          <w:szCs w:val="22"/>
        </w:rPr>
        <w:t xml:space="preserve"> che </w:t>
      </w:r>
      <w:r>
        <w:rPr>
          <w:rFonts w:ascii="Garamond" w:hAnsi="Garamond"/>
          <w:color w:val="000000"/>
          <w:sz w:val="22"/>
          <w:szCs w:val="22"/>
        </w:rPr>
        <w:t>l’impresa è controllata, anche indirettamente, dalle imprese seguenti aventi sede legale o unità operativa in Italia:</w:t>
      </w:r>
    </w:p>
    <w:p w:rsidR="00DB6BDA" w:rsidRDefault="00B342CB">
      <w:pPr>
        <w:spacing w:after="200" w:line="276" w:lineRule="auto"/>
        <w:rPr>
          <w:rFonts w:ascii="Garamond" w:hAnsi="Garamond"/>
          <w:i/>
          <w:color w:val="000000"/>
          <w:sz w:val="22"/>
          <w:szCs w:val="20"/>
        </w:rPr>
      </w:pPr>
      <w:r>
        <w:rPr>
          <w:rFonts w:ascii="Garamond" w:hAnsi="Garamond"/>
          <w:i/>
          <w:color w:val="000000"/>
          <w:sz w:val="22"/>
          <w:szCs w:val="20"/>
        </w:rPr>
        <w:t>(</w:t>
      </w:r>
      <w:r>
        <w:rPr>
          <w:rFonts w:ascii="Garamond" w:hAnsi="Garamond"/>
          <w:i/>
          <w:iCs/>
          <w:color w:val="000000"/>
          <w:sz w:val="22"/>
          <w:szCs w:val="20"/>
        </w:rPr>
        <w:t>Ragione sociale e dati anagrafici</w:t>
      </w:r>
      <w:r>
        <w:rPr>
          <w:rFonts w:ascii="Garamond" w:hAnsi="Garamond"/>
          <w:i/>
          <w:color w:val="000000"/>
          <w:sz w:val="22"/>
          <w:szCs w:val="20"/>
        </w:rPr>
        <w:t>) (ripetere tabella se necessario)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00" w:firstRow="0" w:lastRow="0" w:firstColumn="0" w:lastColumn="0" w:noHBand="0" w:noVBand="0"/>
      </w:tblPr>
      <w:tblGrid>
        <w:gridCol w:w="1721"/>
        <w:gridCol w:w="2645"/>
        <w:gridCol w:w="1158"/>
        <w:gridCol w:w="2054"/>
        <w:gridCol w:w="850"/>
        <w:gridCol w:w="479"/>
        <w:gridCol w:w="721"/>
      </w:tblGrid>
      <w:tr w:rsidR="00DB6BDA">
        <w:trPr>
          <w:trHeight w:val="397"/>
        </w:trPr>
        <w:tc>
          <w:tcPr>
            <w:tcW w:w="9637"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rPr>
                <w:rFonts w:ascii="Garamond" w:hAnsi="Garamond"/>
                <w:bCs/>
                <w:sz w:val="20"/>
                <w:szCs w:val="18"/>
              </w:rPr>
            </w:pPr>
            <w:r>
              <w:rPr>
                <w:rFonts w:ascii="Garamond" w:hAnsi="Garamond"/>
                <w:b/>
                <w:bCs/>
                <w:sz w:val="20"/>
                <w:szCs w:val="18"/>
              </w:rPr>
              <w:t>Anagrafica dell’impresa che esercita il controllo sulla richiedente</w:t>
            </w:r>
          </w:p>
        </w:tc>
      </w:tr>
      <w:tr w:rsidR="00DB6BDA">
        <w:trPr>
          <w:trHeight w:val="283"/>
        </w:trPr>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
                <w:bCs/>
                <w:sz w:val="20"/>
                <w:szCs w:val="18"/>
              </w:rPr>
            </w:pPr>
            <w:r>
              <w:rPr>
                <w:rFonts w:ascii="Garamond" w:hAnsi="Garamond"/>
                <w:b/>
                <w:bCs/>
                <w:sz w:val="20"/>
                <w:szCs w:val="18"/>
              </w:rPr>
              <w:t xml:space="preserve">Impresa </w:t>
            </w:r>
          </w:p>
        </w:tc>
        <w:tc>
          <w:tcPr>
            <w:tcW w:w="38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 xml:space="preserve">Denominazione/Ragione sociale dell’impresa </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
                <w:bCs/>
                <w:sz w:val="20"/>
                <w:szCs w:val="18"/>
              </w:rPr>
            </w:pPr>
            <w:r>
              <w:rPr>
                <w:rFonts w:ascii="Garamond" w:hAnsi="Garamond"/>
                <w:bCs/>
                <w:sz w:val="20"/>
                <w:szCs w:val="18"/>
              </w:rPr>
              <w:t>Forma giuridica</w:t>
            </w:r>
          </w:p>
        </w:tc>
        <w:tc>
          <w:tcPr>
            <w:tcW w:w="20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bCs/>
                <w:sz w:val="20"/>
                <w:szCs w:val="18"/>
              </w:rPr>
            </w:pPr>
          </w:p>
        </w:tc>
      </w:tr>
      <w:tr w:rsidR="00DB6BDA">
        <w:trPr>
          <w:trHeight w:val="397"/>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38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bCs/>
                <w:sz w:val="20"/>
                <w:szCs w:val="18"/>
              </w:rPr>
            </w:pP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Cs/>
                <w:sz w:val="20"/>
                <w:szCs w:val="18"/>
              </w:rPr>
            </w:pPr>
          </w:p>
        </w:tc>
      </w:tr>
      <w:tr w:rsidR="00DB6BDA">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
                <w:sz w:val="20"/>
                <w:szCs w:val="18"/>
              </w:rPr>
            </w:pPr>
            <w:r>
              <w:rPr>
                <w:rFonts w:ascii="Garamond" w:hAnsi="Garamond"/>
                <w:b/>
                <w:sz w:val="20"/>
                <w:szCs w:val="18"/>
              </w:rPr>
              <w:t xml:space="preserve">Sede legale </w:t>
            </w:r>
          </w:p>
        </w:tc>
        <w:tc>
          <w:tcPr>
            <w:tcW w:w="2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Comune</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CAP</w:t>
            </w:r>
          </w:p>
        </w:tc>
        <w:tc>
          <w:tcPr>
            <w:tcW w:w="29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Cs/>
                <w:sz w:val="20"/>
                <w:szCs w:val="18"/>
              </w:rPr>
            </w:pPr>
            <w:r>
              <w:rPr>
                <w:rFonts w:ascii="Garamond" w:hAnsi="Garamond"/>
                <w:bCs/>
                <w:sz w:val="20"/>
                <w:szCs w:val="18"/>
              </w:rPr>
              <w:t>Via</w:t>
            </w: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Cs/>
                <w:sz w:val="20"/>
                <w:szCs w:val="18"/>
              </w:rPr>
            </w:pPr>
            <w:r>
              <w:rPr>
                <w:rFonts w:ascii="Garamond" w:hAnsi="Garamond"/>
                <w:bCs/>
                <w:sz w:val="20"/>
                <w:szCs w:val="18"/>
              </w:rPr>
              <w:t>n.</w:t>
            </w:r>
          </w:p>
        </w:tc>
        <w:tc>
          <w:tcPr>
            <w:tcW w:w="721"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Cs/>
                <w:sz w:val="20"/>
                <w:szCs w:val="18"/>
              </w:rPr>
            </w:pPr>
            <w:r>
              <w:rPr>
                <w:rFonts w:ascii="Garamond" w:hAnsi="Garamond"/>
                <w:bCs/>
                <w:sz w:val="20"/>
                <w:szCs w:val="18"/>
              </w:rPr>
              <w:t>Prov.</w:t>
            </w:r>
          </w:p>
        </w:tc>
      </w:tr>
      <w:tr w:rsidR="00DB6BDA">
        <w:trPr>
          <w:trHeight w:val="397"/>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29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r>
      <w:tr w:rsidR="00DB6BDA">
        <w:trPr>
          <w:trHeight w:val="283"/>
        </w:trPr>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b/>
                <w:sz w:val="20"/>
                <w:szCs w:val="18"/>
              </w:rPr>
            </w:pPr>
            <w:r>
              <w:rPr>
                <w:rFonts w:ascii="Garamond" w:hAnsi="Garamond"/>
                <w:b/>
                <w:sz w:val="20"/>
                <w:szCs w:val="18"/>
              </w:rPr>
              <w:t>Dati impresa</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sz w:val="20"/>
                <w:szCs w:val="18"/>
              </w:rPr>
            </w:pPr>
            <w:r>
              <w:rPr>
                <w:rFonts w:ascii="Garamond" w:hAnsi="Garamond"/>
                <w:bCs/>
                <w:sz w:val="20"/>
                <w:szCs w:val="18"/>
              </w:rPr>
              <w:t>Codice fiscale</w:t>
            </w:r>
          </w:p>
        </w:tc>
        <w:tc>
          <w:tcPr>
            <w:tcW w:w="5267" w:type="dxa"/>
            <w:gridSpan w:val="5"/>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pacing w:after="200" w:line="276" w:lineRule="auto"/>
              <w:rPr>
                <w:rFonts w:ascii="Garamond" w:hAnsi="Garamond"/>
                <w:sz w:val="20"/>
                <w:szCs w:val="18"/>
              </w:rPr>
            </w:pPr>
            <w:r>
              <w:rPr>
                <w:rFonts w:ascii="Garamond" w:hAnsi="Garamond"/>
                <w:bCs/>
                <w:sz w:val="20"/>
                <w:szCs w:val="18"/>
              </w:rPr>
              <w:t>Partita IVA</w:t>
            </w:r>
          </w:p>
        </w:tc>
      </w:tr>
      <w:tr w:rsidR="00DB6BDA">
        <w:trPr>
          <w:trHeight w:val="301"/>
        </w:trPr>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sz w:val="20"/>
                <w:szCs w:val="18"/>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Cs/>
                <w:sz w:val="20"/>
                <w:szCs w:val="18"/>
              </w:rPr>
            </w:pPr>
          </w:p>
        </w:tc>
        <w:tc>
          <w:tcPr>
            <w:tcW w:w="52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sz w:val="20"/>
                <w:szCs w:val="18"/>
              </w:rPr>
            </w:pPr>
          </w:p>
        </w:tc>
      </w:tr>
    </w:tbl>
    <w:p w:rsidR="00DB6BDA" w:rsidRDefault="00DB6BDA">
      <w:pPr>
        <w:spacing w:after="200" w:line="276" w:lineRule="auto"/>
        <w:jc w:val="both"/>
        <w:rPr>
          <w:rFonts w:ascii="Garamond" w:eastAsia="Calibri" w:hAnsi="Garamond"/>
          <w:bCs/>
          <w:sz w:val="22"/>
          <w:szCs w:val="22"/>
          <w:u w:val="single"/>
          <w:lang w:eastAsia="en-US"/>
        </w:rPr>
      </w:pPr>
    </w:p>
    <w:p w:rsidR="00DB6BDA" w:rsidRDefault="00B342CB">
      <w:pPr>
        <w:spacing w:after="200" w:line="276" w:lineRule="auto"/>
        <w:jc w:val="both"/>
        <w:rPr>
          <w:rFonts w:ascii="Garamond" w:eastAsia="Calibri" w:hAnsi="Garamond"/>
          <w:bCs/>
          <w:sz w:val="22"/>
          <w:szCs w:val="22"/>
          <w:u w:val="single"/>
          <w:lang w:eastAsia="en-US"/>
        </w:rPr>
      </w:pPr>
      <w:r>
        <w:rPr>
          <w:rFonts w:ascii="Garamond" w:eastAsia="Calibri" w:hAnsi="Garamond"/>
          <w:bCs/>
          <w:sz w:val="22"/>
          <w:szCs w:val="22"/>
          <w:u w:val="single"/>
          <w:lang w:eastAsia="en-US"/>
        </w:rPr>
        <w:t>Sezione B - Rispetto del massimale</w:t>
      </w:r>
    </w:p>
    <w:p w:rsidR="00DB6BDA" w:rsidRDefault="00B342CB">
      <w:pPr>
        <w:spacing w:after="200" w:line="276" w:lineRule="auto"/>
        <w:jc w:val="both"/>
        <w:rPr>
          <w:rFonts w:ascii="Garamond" w:hAnsi="Garamond"/>
          <w:color w:val="000000"/>
          <w:sz w:val="22"/>
          <w:szCs w:val="22"/>
        </w:rPr>
      </w:pPr>
      <w:r>
        <w:rPr>
          <w:rFonts w:ascii="Garamond" w:hAnsi="Garamond"/>
          <w:color w:val="000000"/>
          <w:sz w:val="22"/>
          <w:szCs w:val="22"/>
        </w:rPr>
        <w:t xml:space="preserve">che l’esercizio finanziario </w:t>
      </w:r>
      <w:r>
        <w:rPr>
          <w:rFonts w:ascii="Garamond" w:hAnsi="Garamond"/>
          <w:i/>
          <w:color w:val="000000"/>
          <w:sz w:val="22"/>
          <w:szCs w:val="22"/>
        </w:rPr>
        <w:t>(anno fiscale)</w:t>
      </w:r>
      <w:r>
        <w:rPr>
          <w:rFonts w:ascii="Garamond" w:hAnsi="Garamond"/>
          <w:color w:val="000000"/>
          <w:sz w:val="22"/>
          <w:szCs w:val="22"/>
        </w:rPr>
        <w:t xml:space="preserve"> dell’impresa rappresentata inizia il ___/___/___ e termina il ___/___/___;</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lastRenderedPageBreak/>
        <w:t>☐</w:t>
      </w:r>
      <w:r>
        <w:rPr>
          <w:rFonts w:ascii="Garamond" w:hAnsi="Garamond"/>
          <w:color w:val="000000"/>
          <w:sz w:val="22"/>
          <w:szCs w:val="22"/>
        </w:rPr>
        <w:t xml:space="preserve"> che all’impresa rappresentata </w:t>
      </w:r>
      <w:r>
        <w:rPr>
          <w:rFonts w:ascii="Garamond" w:hAnsi="Garamond"/>
          <w:b/>
          <w:color w:val="000000"/>
          <w:sz w:val="22"/>
          <w:szCs w:val="22"/>
        </w:rPr>
        <w:t>NON È STATO CONCESSO</w:t>
      </w:r>
      <w:r>
        <w:rPr>
          <w:rFonts w:ascii="Garamond" w:hAnsi="Garamond"/>
          <w:color w:val="000000"/>
          <w:sz w:val="22"/>
          <w:szCs w:val="22"/>
        </w:rPr>
        <w:t xml:space="preserve"> nell’esercizio finanziario corrente e nei due esercizi finanziari precedenti alcun aiuto </w:t>
      </w:r>
      <w:r>
        <w:rPr>
          <w:rFonts w:ascii="Garamond" w:hAnsi="Garamond"/>
          <w:i/>
          <w:color w:val="000000"/>
          <w:sz w:val="22"/>
          <w:szCs w:val="22"/>
        </w:rPr>
        <w:t>“de minimis”</w:t>
      </w:r>
      <w:r>
        <w:rPr>
          <w:rFonts w:ascii="Garamond" w:hAnsi="Garamond"/>
          <w:color w:val="000000"/>
          <w:sz w:val="22"/>
          <w:szCs w:val="22"/>
        </w:rPr>
        <w:t>, tenuto conto anche delle</w:t>
      </w:r>
      <w:r>
        <w:rPr>
          <w:rFonts w:ascii="Garamond" w:hAnsi="Garamond"/>
          <w:color w:val="000000"/>
          <w:sz w:val="22"/>
          <w:szCs w:val="22"/>
        </w:rPr>
        <w:t xml:space="preserve"> disposizioni relative a fusioni/acquisizioni o scissioni</w:t>
      </w:r>
      <w:r>
        <w:rPr>
          <w:rStyle w:val="Richiamoallanotaapidipagina"/>
          <w:rFonts w:ascii="Garamond" w:hAnsi="Garamond"/>
          <w:color w:val="000000"/>
          <w:sz w:val="22"/>
          <w:szCs w:val="22"/>
        </w:rPr>
        <w:footnoteReference w:id="3"/>
      </w:r>
      <w:r>
        <w:rPr>
          <w:rFonts w:ascii="Garamond" w:hAnsi="Garamond"/>
          <w:color w:val="000000"/>
          <w:sz w:val="22"/>
          <w:szCs w:val="22"/>
        </w:rPr>
        <w:t>;</w:t>
      </w:r>
    </w:p>
    <w:p w:rsidR="00DB6BDA" w:rsidRDefault="00B342CB">
      <w:pPr>
        <w:spacing w:after="200" w:line="276" w:lineRule="auto"/>
        <w:jc w:val="both"/>
        <w:rPr>
          <w:rFonts w:ascii="Garamond" w:eastAsia="Calibri" w:hAnsi="Garamond"/>
          <w:sz w:val="22"/>
          <w:szCs w:val="22"/>
          <w:lang w:eastAsia="en-US"/>
        </w:rPr>
      </w:pPr>
      <w:r>
        <w:rPr>
          <w:rFonts w:ascii="Segoe UI Symbol" w:eastAsia="MS Gothic" w:hAnsi="Segoe UI Symbol" w:cs="Segoe UI Symbol"/>
          <w:color w:val="000000"/>
          <w:sz w:val="22"/>
          <w:szCs w:val="22"/>
        </w:rPr>
        <w:t>☐</w:t>
      </w:r>
      <w:r>
        <w:rPr>
          <w:rFonts w:ascii="Garamond" w:hAnsi="Garamond"/>
          <w:color w:val="000000"/>
          <w:sz w:val="22"/>
          <w:szCs w:val="22"/>
        </w:rPr>
        <w:t xml:space="preserve"> che all’impresa rappresentata </w:t>
      </w:r>
      <w:r>
        <w:rPr>
          <w:rFonts w:ascii="Garamond" w:hAnsi="Garamond"/>
          <w:b/>
          <w:color w:val="000000"/>
          <w:sz w:val="22"/>
          <w:szCs w:val="22"/>
        </w:rPr>
        <w:t xml:space="preserve">SONO STATI CONCESSI </w:t>
      </w:r>
      <w:r>
        <w:rPr>
          <w:rFonts w:ascii="Garamond" w:hAnsi="Garamond"/>
          <w:color w:val="000000"/>
          <w:sz w:val="22"/>
          <w:szCs w:val="22"/>
        </w:rPr>
        <w:t xml:space="preserve">nell’esercizio finanziario corrente e nei due esercizi finanziari precedenti i seguenti aiuti </w:t>
      </w:r>
      <w:r>
        <w:rPr>
          <w:rFonts w:ascii="Garamond" w:hAnsi="Garamond"/>
          <w:i/>
          <w:color w:val="000000"/>
          <w:sz w:val="22"/>
          <w:szCs w:val="22"/>
        </w:rPr>
        <w:t>“de minimis”</w:t>
      </w:r>
      <w:r>
        <w:rPr>
          <w:rFonts w:ascii="Garamond" w:hAnsi="Garamond"/>
          <w:color w:val="000000"/>
          <w:sz w:val="22"/>
          <w:szCs w:val="22"/>
        </w:rPr>
        <w:t>, tenuto conto anche delle disposizion</w:t>
      </w:r>
      <w:r>
        <w:rPr>
          <w:rFonts w:ascii="Garamond" w:hAnsi="Garamond"/>
          <w:color w:val="000000"/>
          <w:sz w:val="22"/>
          <w:szCs w:val="22"/>
        </w:rPr>
        <w:t xml:space="preserve">i relative a fusioni/acquisizioni o </w:t>
      </w:r>
      <w:r>
        <w:rPr>
          <w:rFonts w:ascii="Garamond" w:hAnsi="Garamond"/>
          <w:sz w:val="22"/>
          <w:szCs w:val="22"/>
        </w:rPr>
        <w:t>scissioni</w:t>
      </w:r>
      <w:r>
        <w:rPr>
          <w:rStyle w:val="Richiamoallanotaapidipagina"/>
          <w:rFonts w:ascii="Garamond" w:hAnsi="Garamond"/>
          <w:sz w:val="22"/>
          <w:szCs w:val="22"/>
        </w:rPr>
        <w:footnoteReference w:id="4"/>
      </w:r>
      <w:r>
        <w:rPr>
          <w:rFonts w:ascii="Garamond" w:hAnsi="Garamond"/>
          <w:sz w:val="22"/>
          <w:szCs w:val="22"/>
        </w:rPr>
        <w:t>.</w:t>
      </w:r>
    </w:p>
    <w:p w:rsidR="00DB6BDA" w:rsidRDefault="00B342CB">
      <w:pPr>
        <w:spacing w:after="200" w:line="276" w:lineRule="auto"/>
        <w:jc w:val="both"/>
        <w:rPr>
          <w:rFonts w:ascii="Garamond" w:eastAsia="Calibri" w:hAnsi="Garamond"/>
          <w:i/>
          <w:sz w:val="22"/>
          <w:szCs w:val="22"/>
          <w:lang w:eastAsia="en-US"/>
        </w:rPr>
      </w:pPr>
      <w:r>
        <w:rPr>
          <w:rFonts w:ascii="Garamond" w:eastAsia="Calibri" w:hAnsi="Garamond"/>
          <w:i/>
          <w:sz w:val="22"/>
          <w:szCs w:val="22"/>
          <w:lang w:eastAsia="en-US"/>
        </w:rPr>
        <w:t xml:space="preserve"> (Aggiungere righe se necessario)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301"/>
        <w:gridCol w:w="1174"/>
        <w:gridCol w:w="1128"/>
        <w:gridCol w:w="1459"/>
        <w:gridCol w:w="1416"/>
        <w:gridCol w:w="987"/>
        <w:gridCol w:w="984"/>
        <w:gridCol w:w="927"/>
        <w:gridCol w:w="1252"/>
      </w:tblGrid>
      <w:tr w:rsidR="00DB6BDA">
        <w:trPr>
          <w:trHeight w:val="1020"/>
        </w:trPr>
        <w:tc>
          <w:tcPr>
            <w:tcW w:w="30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line="276" w:lineRule="auto"/>
              <w:jc w:val="center"/>
              <w:rPr>
                <w:rFonts w:ascii="Garamond" w:eastAsia="Calibri" w:hAnsi="Garamond"/>
                <w:b/>
                <w:bCs/>
                <w:sz w:val="20"/>
                <w:szCs w:val="20"/>
                <w:lang w:eastAsia="en-US"/>
              </w:rPr>
            </w:pPr>
            <w:r>
              <w:rPr>
                <w:rFonts w:ascii="Garamond" w:eastAsia="Calibri" w:hAnsi="Garamond"/>
                <w:b/>
                <w:bCs/>
                <w:sz w:val="20"/>
                <w:szCs w:val="20"/>
                <w:lang w:eastAsia="en-US"/>
              </w:rPr>
              <w:t>n.</w:t>
            </w:r>
          </w:p>
        </w:tc>
        <w:tc>
          <w:tcPr>
            <w:tcW w:w="117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Impresa cui è stato concesso il ‘</w:t>
            </w:r>
            <w:r>
              <w:rPr>
                <w:rFonts w:ascii="Garamond" w:hAnsi="Garamond"/>
                <w:b/>
                <w:bCs/>
                <w:i/>
                <w:sz w:val="20"/>
                <w:szCs w:val="20"/>
              </w:rPr>
              <w:t>de minimis’</w:t>
            </w:r>
          </w:p>
        </w:tc>
        <w:tc>
          <w:tcPr>
            <w:tcW w:w="112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Ente concedente</w:t>
            </w:r>
          </w:p>
        </w:tc>
        <w:tc>
          <w:tcPr>
            <w:tcW w:w="1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Riferimento normativo/ amministrativo che prevede l’agevolazione</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Provvedimento di concessione e data</w:t>
            </w:r>
          </w:p>
        </w:tc>
        <w:tc>
          <w:tcPr>
            <w:tcW w:w="98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Cs/>
                <w:sz w:val="20"/>
                <w:szCs w:val="20"/>
              </w:rPr>
            </w:pPr>
            <w:r>
              <w:rPr>
                <w:rFonts w:ascii="Garamond" w:hAnsi="Garamond"/>
                <w:b/>
                <w:bCs/>
                <w:sz w:val="20"/>
                <w:szCs w:val="20"/>
              </w:rPr>
              <w:t>Reg. UE ‘</w:t>
            </w:r>
            <w:r>
              <w:rPr>
                <w:rFonts w:ascii="Garamond" w:hAnsi="Garamond"/>
                <w:bCs/>
                <w:i/>
                <w:sz w:val="20"/>
                <w:szCs w:val="20"/>
              </w:rPr>
              <w:t>de minimis’</w:t>
            </w:r>
            <w:r>
              <w:rPr>
                <w:rStyle w:val="Richiamoallanotaapidipagina"/>
                <w:rFonts w:ascii="Garamond" w:hAnsi="Garamond"/>
                <w:bCs/>
                <w:i/>
                <w:sz w:val="20"/>
                <w:szCs w:val="20"/>
              </w:rPr>
              <w:footnoteReference w:id="5"/>
            </w:r>
          </w:p>
        </w:tc>
        <w:tc>
          <w:tcPr>
            <w:tcW w:w="191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Importo dell’aiuto ‘</w:t>
            </w:r>
            <w:r>
              <w:rPr>
                <w:rFonts w:ascii="Garamond" w:hAnsi="Garamond"/>
                <w:b/>
                <w:bCs/>
                <w:i/>
                <w:sz w:val="20"/>
                <w:szCs w:val="20"/>
              </w:rPr>
              <w:t>de minimis’</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Di cui imputabile all’attività di trasporto merci su strada per conto terzi</w:t>
            </w:r>
          </w:p>
        </w:tc>
      </w:tr>
      <w:tr w:rsidR="00DB6BDA">
        <w:trPr>
          <w:trHeight w:val="630"/>
        </w:trPr>
        <w:tc>
          <w:tcPr>
            <w:tcW w:w="3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line="276" w:lineRule="auto"/>
              <w:jc w:val="center"/>
              <w:rPr>
                <w:rFonts w:ascii="Garamond" w:eastAsia="Calibri" w:hAnsi="Garamond"/>
                <w:b/>
                <w:bCs/>
                <w:sz w:val="20"/>
                <w:szCs w:val="20"/>
                <w:lang w:eastAsia="en-US"/>
              </w:rPr>
            </w:pPr>
          </w:p>
        </w:tc>
        <w:tc>
          <w:tcPr>
            <w:tcW w:w="11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1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20"/>
              </w:rPr>
            </w:pPr>
          </w:p>
        </w:tc>
        <w:tc>
          <w:tcPr>
            <w:tcW w:w="14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20"/>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20"/>
              </w:rPr>
            </w:pPr>
          </w:p>
        </w:tc>
        <w:tc>
          <w:tcPr>
            <w:tcW w:w="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Concesso</w:t>
            </w: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uppressLineNumbers/>
              <w:snapToGrid w:val="0"/>
              <w:jc w:val="center"/>
              <w:rPr>
                <w:rFonts w:ascii="Garamond" w:hAnsi="Garamond"/>
                <w:b/>
                <w:bCs/>
                <w:sz w:val="20"/>
                <w:szCs w:val="20"/>
              </w:rPr>
            </w:pPr>
            <w:r>
              <w:rPr>
                <w:rFonts w:ascii="Garamond" w:hAnsi="Garamond"/>
                <w:b/>
                <w:bCs/>
                <w:sz w:val="20"/>
                <w:szCs w:val="20"/>
              </w:rPr>
              <w:t>Effettivo</w:t>
            </w:r>
            <w:r>
              <w:rPr>
                <w:rStyle w:val="Richiamoallanotaapidipagina"/>
                <w:rFonts w:ascii="Garamond" w:hAnsi="Garamond"/>
                <w:b/>
                <w:bCs/>
                <w:sz w:val="20"/>
                <w:szCs w:val="20"/>
              </w:rPr>
              <w:footnoteReference w:id="6"/>
            </w:r>
          </w:p>
        </w:tc>
        <w:tc>
          <w:tcPr>
            <w:tcW w:w="12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
                <w:bCs/>
                <w:sz w:val="20"/>
                <w:szCs w:val="20"/>
              </w:rPr>
            </w:pPr>
          </w:p>
        </w:tc>
      </w:tr>
      <w:tr w:rsidR="00DB6BDA">
        <w:trPr>
          <w:trHeight w:val="371"/>
        </w:trPr>
        <w:tc>
          <w:tcPr>
            <w:tcW w:w="302"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jc w:val="center"/>
              <w:rPr>
                <w:rFonts w:ascii="Garamond" w:hAnsi="Garamond"/>
                <w:b/>
                <w:sz w:val="20"/>
                <w:szCs w:val="20"/>
              </w:rPr>
            </w:pPr>
            <w:r>
              <w:rPr>
                <w:rFonts w:ascii="Garamond" w:hAnsi="Garamond"/>
                <w:b/>
                <w:sz w:val="20"/>
                <w:szCs w:val="20"/>
              </w:rPr>
              <w:t>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Cs/>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Cs/>
                <w:sz w:val="20"/>
                <w:szCs w:val="20"/>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jc w:val="right"/>
              <w:rPr>
                <w:rFonts w:ascii="Garamond" w:hAnsi="Garamond"/>
                <w:bCs/>
                <w:sz w:val="20"/>
                <w:szCs w:val="20"/>
              </w:rPr>
            </w:pPr>
          </w:p>
        </w:tc>
      </w:tr>
      <w:tr w:rsidR="00DB6BDA">
        <w:trPr>
          <w:trHeight w:val="394"/>
        </w:trPr>
        <w:tc>
          <w:tcPr>
            <w:tcW w:w="302"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jc w:val="center"/>
              <w:rPr>
                <w:rFonts w:ascii="Garamond" w:hAnsi="Garamond"/>
                <w:b/>
                <w:sz w:val="20"/>
                <w:szCs w:val="20"/>
              </w:rPr>
            </w:pPr>
            <w:r>
              <w:rPr>
                <w:rFonts w:ascii="Garamond" w:hAnsi="Garamond"/>
                <w:b/>
                <w:sz w:val="20"/>
                <w:szCs w:val="20"/>
              </w:rPr>
              <w:t>2</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bCs/>
                <w:sz w:val="20"/>
                <w:szCs w:val="20"/>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Cs/>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Cs/>
                <w:sz w:val="20"/>
                <w:szCs w:val="20"/>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jc w:val="right"/>
              <w:rPr>
                <w:rFonts w:ascii="Garamond" w:hAnsi="Garamond"/>
                <w:bCs/>
                <w:sz w:val="20"/>
                <w:szCs w:val="20"/>
              </w:rPr>
            </w:pPr>
          </w:p>
        </w:tc>
      </w:tr>
      <w:tr w:rsidR="00DB6BDA">
        <w:trPr>
          <w:trHeight w:val="383"/>
        </w:trPr>
        <w:tc>
          <w:tcPr>
            <w:tcW w:w="302"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jc w:val="center"/>
              <w:rPr>
                <w:rFonts w:ascii="Garamond" w:hAnsi="Garamond"/>
                <w:b/>
                <w:sz w:val="20"/>
                <w:szCs w:val="20"/>
              </w:rPr>
            </w:pPr>
            <w:r>
              <w:rPr>
                <w:rFonts w:ascii="Garamond" w:hAnsi="Garamond"/>
                <w:b/>
                <w:bCs/>
                <w:sz w:val="20"/>
                <w:szCs w:val="20"/>
              </w:rPr>
              <w:t>3</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rPr>
                <w:rFonts w:ascii="Garamond" w:hAnsi="Garamond"/>
                <w:bCs/>
                <w:sz w:val="20"/>
                <w:szCs w:val="20"/>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rPr>
                <w:rFonts w:ascii="Garamond" w:hAnsi="Garamond"/>
                <w:bCs/>
                <w:sz w:val="20"/>
                <w:szCs w:val="20"/>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Cs/>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Cs/>
                <w:sz w:val="20"/>
                <w:szCs w:val="20"/>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uppressLineNumbers/>
              <w:snapToGrid w:val="0"/>
              <w:jc w:val="right"/>
              <w:rPr>
                <w:rFonts w:ascii="Garamond" w:hAnsi="Garamond"/>
                <w:bCs/>
                <w:sz w:val="20"/>
                <w:szCs w:val="20"/>
              </w:rPr>
            </w:pPr>
          </w:p>
        </w:tc>
      </w:tr>
      <w:tr w:rsidR="00DB6BDA">
        <w:trPr>
          <w:trHeight w:val="283"/>
        </w:trPr>
        <w:tc>
          <w:tcPr>
            <w:tcW w:w="6471" w:type="dxa"/>
            <w:gridSpan w:val="6"/>
            <w:tcBorders>
              <w:top w:val="single" w:sz="4" w:space="0" w:color="000000"/>
              <w:left w:val="single" w:sz="4" w:space="0" w:color="000000"/>
              <w:bottom w:val="single" w:sz="4" w:space="0" w:color="000000"/>
              <w:right w:val="single" w:sz="4" w:space="0" w:color="000000"/>
            </w:tcBorders>
            <w:shd w:val="clear" w:color="auto" w:fill="auto"/>
          </w:tcPr>
          <w:p w:rsidR="00DB6BDA" w:rsidRDefault="00B342CB">
            <w:pPr>
              <w:suppressLineNumbers/>
              <w:snapToGrid w:val="0"/>
              <w:ind w:right="175"/>
              <w:jc w:val="right"/>
              <w:rPr>
                <w:rFonts w:ascii="Garamond" w:hAnsi="Garamond"/>
                <w:b/>
                <w:bCs/>
                <w:sz w:val="20"/>
                <w:szCs w:val="20"/>
              </w:rPr>
            </w:pPr>
            <w:r>
              <w:rPr>
                <w:rFonts w:ascii="Garamond" w:hAnsi="Garamond"/>
                <w:b/>
                <w:bCs/>
                <w:sz w:val="20"/>
                <w:szCs w:val="20"/>
              </w:rPr>
              <w:t>TOTALE</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
                <w:bCs/>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ind w:left="34"/>
              <w:jc w:val="right"/>
              <w:rPr>
                <w:rFonts w:ascii="Garamond" w:hAnsi="Garamond"/>
                <w:b/>
                <w:bCs/>
                <w:sz w:val="20"/>
                <w:szCs w:val="20"/>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uppressLineNumbers/>
              <w:snapToGrid w:val="0"/>
              <w:jc w:val="right"/>
              <w:rPr>
                <w:rFonts w:ascii="Garamond" w:hAnsi="Garamond"/>
                <w:b/>
                <w:bCs/>
                <w:sz w:val="20"/>
                <w:szCs w:val="20"/>
              </w:rPr>
            </w:pPr>
          </w:p>
        </w:tc>
      </w:tr>
    </w:tbl>
    <w:p w:rsidR="00DB6BDA" w:rsidRDefault="00DB6BDA">
      <w:pPr>
        <w:spacing w:after="120" w:line="276" w:lineRule="auto"/>
        <w:jc w:val="both"/>
        <w:outlineLvl w:val="0"/>
        <w:rPr>
          <w:rFonts w:ascii="Garamond" w:eastAsia="Calibri" w:hAnsi="Garamond"/>
          <w:b/>
          <w:bCs/>
          <w:color w:val="FF0000"/>
          <w:sz w:val="22"/>
          <w:szCs w:val="22"/>
          <w:u w:val="single"/>
          <w:lang w:eastAsia="en-US"/>
        </w:rPr>
      </w:pPr>
    </w:p>
    <w:p w:rsidR="00DB6BDA" w:rsidRDefault="00B342CB">
      <w:pPr>
        <w:spacing w:after="200" w:line="276" w:lineRule="auto"/>
        <w:jc w:val="both"/>
        <w:rPr>
          <w:rFonts w:ascii="Garamond" w:eastAsia="Calibri" w:hAnsi="Garamond"/>
          <w:sz w:val="22"/>
          <w:szCs w:val="22"/>
          <w:lang w:eastAsia="en-US"/>
        </w:rPr>
      </w:pPr>
      <w:r>
        <w:rPr>
          <w:rFonts w:ascii="Garamond" w:eastAsia="Calibri" w:hAnsi="Garamond"/>
          <w:sz w:val="22"/>
          <w:szCs w:val="22"/>
          <w:lang w:eastAsia="en-US"/>
        </w:rPr>
        <w:t xml:space="preserve">Le seguenti sezioni C, D ed E dello schema si intendono come </w:t>
      </w:r>
      <w:r>
        <w:rPr>
          <w:rFonts w:ascii="Garamond" w:eastAsia="Calibri" w:hAnsi="Garamond"/>
          <w:sz w:val="22"/>
          <w:szCs w:val="22"/>
          <w:lang w:eastAsia="en-US"/>
        </w:rPr>
        <w:t>SEZIONI FACOLTATIVE per l’Amministrazione concedente che le inserirà solo qualora lo riterrà necessario, soprattutto nel caso di utilizzo di fondi strutturali per facilitare i controlli.</w:t>
      </w:r>
    </w:p>
    <w:p w:rsidR="00DB6BDA" w:rsidRDefault="00DB6BDA">
      <w:pPr>
        <w:spacing w:after="200" w:line="276" w:lineRule="auto"/>
        <w:jc w:val="both"/>
        <w:rPr>
          <w:rFonts w:ascii="Garamond" w:eastAsia="Calibri" w:hAnsi="Garamond"/>
          <w:sz w:val="22"/>
          <w:szCs w:val="22"/>
          <w:u w:val="single"/>
          <w:lang w:eastAsia="en-US"/>
        </w:rPr>
      </w:pPr>
    </w:p>
    <w:p w:rsidR="00DB6BDA" w:rsidRDefault="00B342CB">
      <w:pPr>
        <w:spacing w:after="200" w:line="276" w:lineRule="auto"/>
        <w:jc w:val="both"/>
        <w:rPr>
          <w:rFonts w:ascii="Garamond" w:eastAsia="Calibri" w:hAnsi="Garamond"/>
          <w:sz w:val="22"/>
          <w:szCs w:val="22"/>
          <w:u w:val="single"/>
          <w:lang w:eastAsia="en-US"/>
        </w:rPr>
      </w:pPr>
      <w:r>
        <w:rPr>
          <w:rFonts w:ascii="Garamond" w:eastAsia="Calibri" w:hAnsi="Garamond"/>
          <w:sz w:val="22"/>
          <w:szCs w:val="22"/>
          <w:u w:val="single"/>
          <w:lang w:eastAsia="en-US"/>
        </w:rPr>
        <w:t>Sezione C – settori in cui opera l’impresa</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lastRenderedPageBreak/>
        <w:t>☐</w:t>
      </w:r>
      <w:r>
        <w:rPr>
          <w:rFonts w:ascii="Garamond" w:hAnsi="Garamond"/>
          <w:color w:val="000000"/>
          <w:sz w:val="22"/>
          <w:szCs w:val="22"/>
        </w:rPr>
        <w:t xml:space="preserve"> che l’impresa rappresen</w:t>
      </w:r>
      <w:r>
        <w:rPr>
          <w:rFonts w:ascii="Garamond" w:hAnsi="Garamond"/>
          <w:color w:val="000000"/>
          <w:sz w:val="22"/>
          <w:szCs w:val="22"/>
        </w:rPr>
        <w:t xml:space="preserve">tata </w:t>
      </w:r>
      <w:r>
        <w:rPr>
          <w:rFonts w:ascii="Garamond" w:hAnsi="Garamond"/>
          <w:b/>
          <w:color w:val="000000"/>
          <w:sz w:val="22"/>
          <w:szCs w:val="22"/>
        </w:rPr>
        <w:t xml:space="preserve">opera solo nei settori economici ammissibili </w:t>
      </w:r>
      <w:r>
        <w:rPr>
          <w:rFonts w:ascii="Garamond" w:hAnsi="Garamond"/>
          <w:color w:val="000000"/>
          <w:sz w:val="22"/>
          <w:szCs w:val="22"/>
        </w:rPr>
        <w:t>al finanziamento;</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t>☐</w:t>
      </w:r>
      <w:r>
        <w:rPr>
          <w:rFonts w:ascii="Garamond" w:hAnsi="Garamond"/>
          <w:color w:val="000000"/>
          <w:sz w:val="22"/>
          <w:szCs w:val="22"/>
        </w:rPr>
        <w:t xml:space="preserve"> c</w:t>
      </w:r>
      <w:r>
        <w:rPr>
          <w:rFonts w:ascii="Garamond" w:eastAsia="Calibri" w:hAnsi="Garamond"/>
          <w:color w:val="000000"/>
          <w:sz w:val="22"/>
          <w:szCs w:val="22"/>
          <w:lang w:eastAsia="en-US"/>
        </w:rPr>
        <w:t>he l’impresa rappresentata</w:t>
      </w:r>
      <w:r>
        <w:rPr>
          <w:rFonts w:ascii="Garamond" w:eastAsia="Calibri" w:hAnsi="Garamond"/>
          <w:b/>
          <w:color w:val="000000"/>
          <w:sz w:val="22"/>
          <w:szCs w:val="22"/>
          <w:lang w:eastAsia="en-US"/>
        </w:rPr>
        <w:t xml:space="preserve"> opera anche in settori economici esclusi</w:t>
      </w:r>
      <w:r>
        <w:rPr>
          <w:rFonts w:ascii="Garamond" w:eastAsia="Calibri" w:hAnsi="Garamond"/>
          <w:color w:val="000000"/>
          <w:sz w:val="22"/>
          <w:szCs w:val="22"/>
          <w:lang w:eastAsia="en-US"/>
        </w:rPr>
        <w:t xml:space="preserve">, tuttavia </w:t>
      </w:r>
      <w:r>
        <w:rPr>
          <w:rFonts w:ascii="Garamond" w:eastAsia="Calibri" w:hAnsi="Garamond"/>
          <w:b/>
          <w:color w:val="000000"/>
          <w:sz w:val="22"/>
          <w:szCs w:val="22"/>
          <w:lang w:eastAsia="en-US"/>
        </w:rPr>
        <w:t>dispone di un sistema</w:t>
      </w:r>
      <w:r>
        <w:rPr>
          <w:rFonts w:ascii="Garamond" w:eastAsia="Calibri" w:hAnsi="Garamond"/>
          <w:color w:val="000000"/>
          <w:sz w:val="22"/>
          <w:szCs w:val="22"/>
          <w:lang w:eastAsia="en-US"/>
        </w:rPr>
        <w:t xml:space="preserve"> adeguato di </w:t>
      </w:r>
      <w:r>
        <w:rPr>
          <w:rFonts w:ascii="Garamond" w:eastAsia="Calibri" w:hAnsi="Garamond"/>
          <w:b/>
          <w:color w:val="000000"/>
          <w:sz w:val="22"/>
          <w:szCs w:val="22"/>
          <w:lang w:eastAsia="en-US"/>
        </w:rPr>
        <w:t>separazione delle attività</w:t>
      </w:r>
      <w:r>
        <w:rPr>
          <w:rFonts w:ascii="Garamond" w:eastAsia="Calibri" w:hAnsi="Garamond"/>
          <w:color w:val="000000"/>
          <w:sz w:val="22"/>
          <w:szCs w:val="22"/>
          <w:lang w:eastAsia="en-US"/>
        </w:rPr>
        <w:t xml:space="preserve"> o </w:t>
      </w:r>
      <w:r>
        <w:rPr>
          <w:rFonts w:ascii="Garamond" w:eastAsia="Calibri" w:hAnsi="Garamond"/>
          <w:b/>
          <w:color w:val="000000"/>
          <w:sz w:val="22"/>
          <w:szCs w:val="22"/>
          <w:lang w:eastAsia="en-US"/>
        </w:rPr>
        <w:t>distinzione dei costi</w:t>
      </w:r>
      <w:r>
        <w:rPr>
          <w:rFonts w:ascii="Garamond" w:hAnsi="Garamond"/>
          <w:color w:val="000000"/>
          <w:sz w:val="22"/>
          <w:szCs w:val="22"/>
        </w:rPr>
        <w:t>;</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t>☐</w:t>
      </w:r>
      <w:r>
        <w:rPr>
          <w:rFonts w:ascii="Garamond" w:hAnsi="Garamond"/>
          <w:color w:val="000000"/>
          <w:sz w:val="22"/>
          <w:szCs w:val="22"/>
        </w:rPr>
        <w:t xml:space="preserve"> che </w:t>
      </w:r>
      <w:r>
        <w:rPr>
          <w:rFonts w:ascii="Garamond" w:eastAsia="Calibri" w:hAnsi="Garamond"/>
          <w:color w:val="000000"/>
          <w:sz w:val="22"/>
          <w:szCs w:val="22"/>
          <w:lang w:eastAsia="en-US"/>
        </w:rPr>
        <w:t xml:space="preserve">l’impresa </w:t>
      </w:r>
      <w:r>
        <w:rPr>
          <w:rFonts w:ascii="Garamond" w:eastAsia="Calibri" w:hAnsi="Garamond"/>
          <w:color w:val="000000"/>
          <w:sz w:val="22"/>
          <w:szCs w:val="22"/>
          <w:lang w:eastAsia="en-US"/>
        </w:rPr>
        <w:t>rappresentata</w:t>
      </w:r>
      <w:r>
        <w:rPr>
          <w:rFonts w:ascii="Garamond" w:eastAsia="Calibri" w:hAnsi="Garamond"/>
          <w:b/>
          <w:color w:val="000000"/>
          <w:sz w:val="22"/>
          <w:szCs w:val="22"/>
          <w:lang w:eastAsia="en-US"/>
        </w:rPr>
        <w:t xml:space="preserve"> opera anche nel settore economico del «trasporto merci su strada per conto terzi»</w:t>
      </w:r>
      <w:r>
        <w:rPr>
          <w:rFonts w:ascii="Garamond" w:eastAsia="Calibri" w:hAnsi="Garamond"/>
          <w:color w:val="000000"/>
          <w:sz w:val="22"/>
          <w:szCs w:val="22"/>
          <w:lang w:eastAsia="en-US"/>
        </w:rPr>
        <w:t xml:space="preserve">, tuttavia </w:t>
      </w:r>
      <w:r>
        <w:rPr>
          <w:rFonts w:ascii="Garamond" w:eastAsia="Calibri" w:hAnsi="Garamond"/>
          <w:b/>
          <w:color w:val="000000"/>
          <w:sz w:val="22"/>
          <w:szCs w:val="22"/>
          <w:lang w:eastAsia="en-US"/>
        </w:rPr>
        <w:t>dispone di un sistema adeguato di</w:t>
      </w:r>
      <w:r>
        <w:rPr>
          <w:rFonts w:ascii="Garamond" w:eastAsia="Calibri" w:hAnsi="Garamond"/>
          <w:color w:val="000000"/>
          <w:sz w:val="22"/>
          <w:szCs w:val="22"/>
          <w:lang w:eastAsia="en-US"/>
        </w:rPr>
        <w:t xml:space="preserve"> </w:t>
      </w:r>
      <w:r>
        <w:rPr>
          <w:rFonts w:ascii="Garamond" w:eastAsia="Calibri" w:hAnsi="Garamond"/>
          <w:b/>
          <w:color w:val="000000"/>
          <w:sz w:val="22"/>
          <w:szCs w:val="22"/>
          <w:lang w:eastAsia="en-US"/>
        </w:rPr>
        <w:t>separazione delle attività</w:t>
      </w:r>
      <w:r>
        <w:rPr>
          <w:rFonts w:ascii="Garamond" w:eastAsia="Calibri" w:hAnsi="Garamond"/>
          <w:color w:val="000000"/>
          <w:sz w:val="22"/>
          <w:szCs w:val="22"/>
          <w:lang w:eastAsia="en-US"/>
        </w:rPr>
        <w:t xml:space="preserve"> o </w:t>
      </w:r>
      <w:r>
        <w:rPr>
          <w:rFonts w:ascii="Garamond" w:eastAsia="Calibri" w:hAnsi="Garamond"/>
          <w:b/>
          <w:color w:val="000000"/>
          <w:sz w:val="22"/>
          <w:szCs w:val="22"/>
          <w:lang w:eastAsia="en-US"/>
        </w:rPr>
        <w:t>distinzione dei</w:t>
      </w:r>
      <w:r>
        <w:rPr>
          <w:rFonts w:ascii="Garamond" w:hAnsi="Garamond"/>
          <w:color w:val="000000"/>
          <w:sz w:val="22"/>
          <w:szCs w:val="22"/>
        </w:rPr>
        <w:t xml:space="preserve"> </w:t>
      </w:r>
      <w:r>
        <w:rPr>
          <w:rFonts w:ascii="Garamond" w:hAnsi="Garamond"/>
          <w:b/>
          <w:color w:val="000000"/>
          <w:sz w:val="22"/>
          <w:szCs w:val="22"/>
        </w:rPr>
        <w:t>costi.</w:t>
      </w:r>
    </w:p>
    <w:p w:rsidR="00DB6BDA" w:rsidRDefault="00B342CB">
      <w:pPr>
        <w:spacing w:after="200" w:line="276" w:lineRule="auto"/>
        <w:jc w:val="both"/>
        <w:rPr>
          <w:rFonts w:ascii="Garamond" w:eastAsia="Calibri" w:hAnsi="Garamond"/>
          <w:sz w:val="22"/>
          <w:szCs w:val="22"/>
          <w:u w:val="single"/>
          <w:lang w:eastAsia="en-US"/>
        </w:rPr>
      </w:pPr>
      <w:r>
        <w:rPr>
          <w:rFonts w:ascii="Garamond" w:eastAsia="Calibri" w:hAnsi="Garamond"/>
          <w:sz w:val="22"/>
          <w:szCs w:val="22"/>
          <w:u w:val="single"/>
          <w:lang w:eastAsia="en-US"/>
        </w:rPr>
        <w:t>Sezione D - condizioni di cumulo</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t>☐</w:t>
      </w:r>
      <w:r>
        <w:rPr>
          <w:rFonts w:ascii="Garamond" w:hAnsi="Garamond"/>
          <w:color w:val="000000"/>
          <w:sz w:val="22"/>
          <w:szCs w:val="22"/>
        </w:rPr>
        <w:t xml:space="preserve"> che in riferimento agli stess</w:t>
      </w:r>
      <w:r>
        <w:rPr>
          <w:rFonts w:ascii="Garamond" w:hAnsi="Garamond"/>
          <w:color w:val="000000"/>
          <w:sz w:val="22"/>
          <w:szCs w:val="22"/>
        </w:rPr>
        <w:t xml:space="preserve">i </w:t>
      </w:r>
      <w:r>
        <w:rPr>
          <w:rFonts w:ascii="Garamond" w:hAnsi="Garamond"/>
          <w:b/>
          <w:color w:val="000000"/>
          <w:sz w:val="22"/>
          <w:szCs w:val="22"/>
        </w:rPr>
        <w:t xml:space="preserve">«costi ammissibili» </w:t>
      </w:r>
      <w:r>
        <w:rPr>
          <w:rFonts w:ascii="Garamond" w:hAnsi="Garamond"/>
          <w:color w:val="000000"/>
          <w:sz w:val="22"/>
          <w:szCs w:val="22"/>
        </w:rPr>
        <w:t xml:space="preserve">l’impresa rappresentata </w:t>
      </w:r>
      <w:r>
        <w:rPr>
          <w:rFonts w:ascii="Garamond" w:hAnsi="Garamond"/>
          <w:b/>
          <w:color w:val="000000"/>
          <w:sz w:val="22"/>
          <w:szCs w:val="22"/>
        </w:rPr>
        <w:t>NON</w:t>
      </w:r>
      <w:r>
        <w:rPr>
          <w:rFonts w:ascii="Garamond" w:hAnsi="Garamond"/>
          <w:color w:val="000000"/>
          <w:sz w:val="22"/>
          <w:szCs w:val="22"/>
        </w:rPr>
        <w:t xml:space="preserve"> ha beneficiato di altri aiuti di Stato.</w:t>
      </w:r>
    </w:p>
    <w:p w:rsidR="00DB6BDA" w:rsidRDefault="00B342CB">
      <w:pPr>
        <w:spacing w:after="200" w:line="276" w:lineRule="auto"/>
        <w:jc w:val="both"/>
      </w:pPr>
      <w:r>
        <w:rPr>
          <w:rFonts w:ascii="Segoe UI Symbol" w:eastAsia="MS Gothic" w:hAnsi="Segoe UI Symbol" w:cs="Segoe UI Symbol"/>
          <w:color w:val="000000"/>
          <w:sz w:val="22"/>
          <w:szCs w:val="22"/>
        </w:rPr>
        <w:t>☐</w:t>
      </w:r>
      <w:r>
        <w:rPr>
          <w:rFonts w:ascii="Garamond" w:hAnsi="Garamond"/>
          <w:color w:val="000000"/>
          <w:sz w:val="22"/>
          <w:szCs w:val="22"/>
        </w:rPr>
        <w:t xml:space="preserve"> che in riferimento agli stessi </w:t>
      </w:r>
      <w:r>
        <w:rPr>
          <w:rFonts w:ascii="Garamond" w:hAnsi="Garamond"/>
          <w:b/>
          <w:color w:val="000000"/>
          <w:sz w:val="22"/>
          <w:szCs w:val="22"/>
        </w:rPr>
        <w:t xml:space="preserve">«costi ammissibili» </w:t>
      </w:r>
      <w:r>
        <w:rPr>
          <w:rFonts w:ascii="Garamond" w:hAnsi="Garamond"/>
          <w:color w:val="000000"/>
          <w:sz w:val="22"/>
          <w:szCs w:val="22"/>
        </w:rPr>
        <w:t>l’impresa rappresentata ha beneficiato dei seguenti aiuti di Stato: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28" w:type="dxa"/>
          <w:bottom w:w="57" w:type="dxa"/>
          <w:right w:w="28" w:type="dxa"/>
        </w:tblCellMar>
        <w:tblLook w:val="0000" w:firstRow="0" w:lastRow="0" w:firstColumn="0" w:lastColumn="0" w:noHBand="0" w:noVBand="0"/>
      </w:tblPr>
      <w:tblGrid>
        <w:gridCol w:w="275"/>
        <w:gridCol w:w="1041"/>
        <w:gridCol w:w="1367"/>
        <w:gridCol w:w="1373"/>
        <w:gridCol w:w="2174"/>
        <w:gridCol w:w="1139"/>
        <w:gridCol w:w="996"/>
        <w:gridCol w:w="1263"/>
      </w:tblGrid>
      <w:tr w:rsidR="00DB6BDA">
        <w:trPr>
          <w:trHeight w:val="533"/>
        </w:trPr>
        <w:tc>
          <w:tcPr>
            <w:tcW w:w="27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eastAsia="Calibri" w:hAnsi="Garamond"/>
                <w:b/>
                <w:color w:val="000000"/>
                <w:sz w:val="20"/>
                <w:szCs w:val="20"/>
                <w:lang w:eastAsia="en-US"/>
              </w:rPr>
            </w:pPr>
            <w:r>
              <w:rPr>
                <w:rFonts w:ascii="Garamond" w:eastAsia="Calibri" w:hAnsi="Garamond"/>
                <w:b/>
                <w:color w:val="000000"/>
                <w:sz w:val="20"/>
                <w:szCs w:val="20"/>
                <w:lang w:eastAsia="en-US"/>
              </w:rPr>
              <w:t>n.</w:t>
            </w:r>
          </w:p>
        </w:tc>
        <w:tc>
          <w:tcPr>
            <w:tcW w:w="104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Ente concedente</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 xml:space="preserve">Riferimento normativo o </w:t>
            </w:r>
            <w:r>
              <w:rPr>
                <w:rFonts w:ascii="Garamond" w:hAnsi="Garamond"/>
                <w:b/>
                <w:color w:val="000000"/>
                <w:sz w:val="20"/>
                <w:szCs w:val="20"/>
              </w:rPr>
              <w:t>amministrativo che prevede l’agevolazione</w:t>
            </w:r>
          </w:p>
        </w:tc>
        <w:tc>
          <w:tcPr>
            <w:tcW w:w="137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color w:val="000000"/>
                <w:sz w:val="20"/>
                <w:szCs w:val="20"/>
              </w:rPr>
            </w:pPr>
            <w:r>
              <w:rPr>
                <w:rFonts w:ascii="Garamond" w:hAnsi="Garamond"/>
                <w:b/>
                <w:color w:val="000000"/>
                <w:sz w:val="20"/>
                <w:szCs w:val="20"/>
              </w:rPr>
              <w:t>Provvedimento di concessione</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Regolamento di esenzione (e articolo pertinente) o Decisione Commissione UE</w:t>
            </w:r>
            <w:r>
              <w:rPr>
                <w:rStyle w:val="Richiamoallanotaapidipagina"/>
                <w:rFonts w:ascii="Garamond" w:hAnsi="Garamond"/>
                <w:b/>
                <w:color w:val="000000"/>
                <w:sz w:val="20"/>
                <w:szCs w:val="20"/>
              </w:rPr>
              <w:footnoteReference w:id="7"/>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Intensità di aiuto</w:t>
            </w:r>
          </w:p>
        </w:tc>
        <w:tc>
          <w:tcPr>
            <w:tcW w:w="126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Importo imputato sulla voce di costo o sul progetto</w:t>
            </w:r>
          </w:p>
        </w:tc>
      </w:tr>
      <w:tr w:rsidR="00DB6BDA">
        <w:trPr>
          <w:trHeight w:val="361"/>
        </w:trPr>
        <w:tc>
          <w:tcPr>
            <w:tcW w:w="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eastAsia="Calibri" w:hAnsi="Garamond"/>
                <w:b/>
                <w:color w:val="000000"/>
                <w:sz w:val="20"/>
                <w:szCs w:val="20"/>
                <w:lang w:eastAsia="en-US"/>
              </w:rPr>
            </w:pPr>
          </w:p>
        </w:tc>
        <w:tc>
          <w:tcPr>
            <w:tcW w:w="10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c>
          <w:tcPr>
            <w:tcW w:w="13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c>
          <w:tcPr>
            <w:tcW w:w="113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Ammissibile</w:t>
            </w:r>
          </w:p>
        </w:tc>
        <w:tc>
          <w:tcPr>
            <w:tcW w:w="9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B6BDA" w:rsidRDefault="00B342CB">
            <w:pPr>
              <w:spacing w:after="200" w:line="276" w:lineRule="auto"/>
              <w:jc w:val="center"/>
              <w:rPr>
                <w:rFonts w:ascii="Garamond" w:hAnsi="Garamond"/>
                <w:b/>
                <w:color w:val="000000"/>
                <w:sz w:val="20"/>
                <w:szCs w:val="20"/>
              </w:rPr>
            </w:pPr>
            <w:r>
              <w:rPr>
                <w:rFonts w:ascii="Garamond" w:hAnsi="Garamond"/>
                <w:b/>
                <w:color w:val="000000"/>
                <w:sz w:val="20"/>
                <w:szCs w:val="20"/>
              </w:rPr>
              <w:t>Applicata</w:t>
            </w:r>
          </w:p>
        </w:tc>
        <w:tc>
          <w:tcPr>
            <w:tcW w:w="12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r>
      <w:tr w:rsidR="00DB6BDA">
        <w:trPr>
          <w:trHeight w:val="397"/>
        </w:trPr>
        <w:tc>
          <w:tcPr>
            <w:tcW w:w="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color w:val="000000"/>
                <w:sz w:val="20"/>
                <w:szCs w:val="20"/>
              </w:rPr>
            </w:pPr>
            <w:r>
              <w:rPr>
                <w:rFonts w:ascii="Garamond" w:hAnsi="Garamond"/>
                <w:color w:val="000000"/>
                <w:sz w:val="20"/>
                <w:szCs w:val="20"/>
              </w:rPr>
              <w:t>1</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r>
      <w:tr w:rsidR="00DB6BDA">
        <w:trPr>
          <w:trHeight w:val="397"/>
        </w:trPr>
        <w:tc>
          <w:tcPr>
            <w:tcW w:w="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color w:val="000000"/>
                <w:sz w:val="20"/>
                <w:szCs w:val="20"/>
              </w:rPr>
            </w:pPr>
            <w:r>
              <w:rPr>
                <w:rFonts w:ascii="Garamond" w:hAnsi="Garamond"/>
                <w:color w:val="000000"/>
                <w:sz w:val="20"/>
                <w:szCs w:val="20"/>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r>
      <w:tr w:rsidR="00DB6BDA">
        <w:trPr>
          <w:trHeight w:val="397"/>
        </w:trPr>
        <w:tc>
          <w:tcPr>
            <w:tcW w:w="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color w:val="000000"/>
                <w:sz w:val="20"/>
                <w:szCs w:val="20"/>
              </w:rPr>
            </w:pPr>
            <w:r>
              <w:rPr>
                <w:rFonts w:ascii="Garamond" w:hAnsi="Garamond"/>
                <w:color w:val="000000"/>
                <w:sz w:val="20"/>
                <w:szCs w:val="20"/>
              </w:rPr>
              <w:t>3</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color w:val="000000"/>
                <w:sz w:val="20"/>
                <w:szCs w:val="2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DB6BDA">
            <w:pPr>
              <w:spacing w:after="200" w:line="276" w:lineRule="auto"/>
              <w:rPr>
                <w:rFonts w:ascii="Garamond" w:hAnsi="Garamond"/>
                <w:b/>
                <w:color w:val="000000"/>
                <w:sz w:val="20"/>
                <w:szCs w:val="20"/>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r>
      <w:tr w:rsidR="00DB6BDA">
        <w:trPr>
          <w:trHeight w:val="397"/>
        </w:trPr>
        <w:tc>
          <w:tcPr>
            <w:tcW w:w="623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6BDA" w:rsidRDefault="00B342CB">
            <w:pPr>
              <w:spacing w:after="200" w:line="276" w:lineRule="auto"/>
              <w:rPr>
                <w:rFonts w:ascii="Garamond" w:hAnsi="Garamond"/>
                <w:b/>
                <w:color w:val="000000"/>
                <w:sz w:val="20"/>
                <w:szCs w:val="20"/>
              </w:rPr>
            </w:pPr>
            <w:r>
              <w:rPr>
                <w:rFonts w:ascii="Garamond" w:hAnsi="Garamond"/>
                <w:b/>
                <w:color w:val="000000"/>
                <w:sz w:val="20"/>
                <w:szCs w:val="20"/>
              </w:rPr>
              <w:t>TOTALE</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rsidR="00DB6BDA" w:rsidRDefault="00DB6BDA">
            <w:pPr>
              <w:spacing w:after="200" w:line="276" w:lineRule="auto"/>
              <w:rPr>
                <w:rFonts w:ascii="Garamond" w:hAnsi="Garamond"/>
                <w:color w:val="000000"/>
                <w:sz w:val="20"/>
                <w:szCs w:val="20"/>
              </w:rPr>
            </w:pPr>
          </w:p>
        </w:tc>
      </w:tr>
    </w:tbl>
    <w:p w:rsidR="00DB6BDA" w:rsidRDefault="00B342CB">
      <w:pPr>
        <w:spacing w:before="120" w:after="120" w:line="276" w:lineRule="auto"/>
        <w:jc w:val="both"/>
        <w:rPr>
          <w:rFonts w:ascii="Garamond" w:eastAsia="Calibri" w:hAnsi="Garamond"/>
          <w:sz w:val="22"/>
          <w:szCs w:val="22"/>
          <w:u w:val="single"/>
          <w:lang w:eastAsia="en-US"/>
        </w:rPr>
      </w:pPr>
      <w:r>
        <w:rPr>
          <w:rFonts w:ascii="Garamond" w:eastAsia="Calibri" w:hAnsi="Garamond"/>
          <w:sz w:val="22"/>
          <w:szCs w:val="22"/>
          <w:u w:val="single"/>
          <w:lang w:eastAsia="en-US"/>
        </w:rPr>
        <w:t>Sezione E - Aiuti “de minimis” sotto forma di «prestiti» o «garanzie»</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t>☐</w:t>
      </w:r>
      <w:r>
        <w:rPr>
          <w:rFonts w:ascii="Garamond" w:hAnsi="Garamond"/>
          <w:color w:val="000000"/>
          <w:sz w:val="22"/>
          <w:szCs w:val="22"/>
        </w:rPr>
        <w:t xml:space="preserve"> che l’impresa rappresentata </w:t>
      </w:r>
      <w:r>
        <w:rPr>
          <w:rFonts w:ascii="Garamond" w:hAnsi="Garamond"/>
          <w:b/>
          <w:color w:val="000000"/>
          <w:sz w:val="22"/>
          <w:szCs w:val="22"/>
        </w:rPr>
        <w:t>non è oggetto di procedura concorsuale</w:t>
      </w:r>
      <w:r>
        <w:rPr>
          <w:rFonts w:ascii="Garamond" w:hAnsi="Garamond"/>
          <w:color w:val="000000"/>
          <w:sz w:val="22"/>
          <w:szCs w:val="22"/>
        </w:rPr>
        <w:t xml:space="preserve"> per insolvenza oppure non soddisfa le condizioni previste dal diritto nazionale per l’apertura nei suoi confronti di una tale procedura su richiesta dei suoi creditori;</w:t>
      </w:r>
    </w:p>
    <w:p w:rsidR="00DB6BDA" w:rsidRDefault="00B342CB">
      <w:pPr>
        <w:spacing w:after="200" w:line="276" w:lineRule="auto"/>
        <w:jc w:val="both"/>
      </w:pPr>
      <w:r>
        <w:rPr>
          <w:rFonts w:ascii="Garamond" w:eastAsia="Calibri" w:hAnsi="Garamond"/>
          <w:b/>
          <w:color w:val="000000"/>
          <w:sz w:val="22"/>
          <w:szCs w:val="22"/>
          <w:lang w:eastAsia="en-US"/>
        </w:rPr>
        <w:t>Per le Grandi Imprese:</w:t>
      </w:r>
    </w:p>
    <w:p w:rsidR="00DB6BDA" w:rsidRDefault="00B342CB">
      <w:pPr>
        <w:spacing w:after="200" w:line="276" w:lineRule="auto"/>
        <w:jc w:val="both"/>
        <w:rPr>
          <w:rFonts w:ascii="Garamond" w:hAnsi="Garamond"/>
          <w:color w:val="000000"/>
          <w:sz w:val="22"/>
          <w:szCs w:val="22"/>
        </w:rPr>
      </w:pPr>
      <w:r>
        <w:rPr>
          <w:rFonts w:ascii="Segoe UI Symbol" w:eastAsia="MS Gothic" w:hAnsi="Segoe UI Symbol" w:cs="Segoe UI Symbol"/>
          <w:color w:val="000000"/>
          <w:sz w:val="22"/>
          <w:szCs w:val="22"/>
        </w:rPr>
        <w:t>☐</w:t>
      </w:r>
      <w:r>
        <w:rPr>
          <w:rFonts w:ascii="Garamond" w:hAnsi="Garamond"/>
          <w:color w:val="000000"/>
          <w:sz w:val="22"/>
          <w:szCs w:val="22"/>
        </w:rPr>
        <w:t xml:space="preserve"> che l’impresa rappresentata </w:t>
      </w:r>
      <w:r>
        <w:rPr>
          <w:rFonts w:ascii="Garamond" w:hAnsi="Garamond"/>
          <w:b/>
          <w:color w:val="000000"/>
          <w:sz w:val="22"/>
          <w:szCs w:val="22"/>
        </w:rPr>
        <w:t>si trova in una situazione compar</w:t>
      </w:r>
      <w:r>
        <w:rPr>
          <w:rFonts w:ascii="Garamond" w:hAnsi="Garamond"/>
          <w:b/>
          <w:color w:val="000000"/>
          <w:sz w:val="22"/>
          <w:szCs w:val="22"/>
        </w:rPr>
        <w:t>abile ad un rating del credito</w:t>
      </w:r>
      <w:r>
        <w:rPr>
          <w:rFonts w:ascii="Garamond" w:hAnsi="Garamond"/>
          <w:color w:val="000000"/>
          <w:sz w:val="22"/>
          <w:szCs w:val="22"/>
        </w:rPr>
        <w:t xml:space="preserve"> </w:t>
      </w:r>
      <w:r>
        <w:rPr>
          <w:rFonts w:ascii="Garamond" w:hAnsi="Garamond"/>
          <w:b/>
          <w:color w:val="000000"/>
          <w:sz w:val="22"/>
          <w:szCs w:val="22"/>
        </w:rPr>
        <w:t>pari ad almeno B-</w:t>
      </w:r>
      <w:r>
        <w:rPr>
          <w:rFonts w:ascii="Garamond" w:hAnsi="Garamond"/>
          <w:color w:val="000000"/>
          <w:sz w:val="22"/>
          <w:szCs w:val="22"/>
        </w:rPr>
        <w:t>;</w:t>
      </w:r>
    </w:p>
    <w:p w:rsidR="00DB6BDA" w:rsidRDefault="00B342CB">
      <w:pPr>
        <w:spacing w:after="200" w:line="276" w:lineRule="auto"/>
        <w:jc w:val="center"/>
        <w:rPr>
          <w:rFonts w:ascii="Garamond" w:eastAsia="Calibri" w:hAnsi="Garamond"/>
          <w:b/>
          <w:spacing w:val="20"/>
          <w:sz w:val="22"/>
          <w:szCs w:val="22"/>
          <w:lang w:eastAsia="en-US"/>
        </w:rPr>
      </w:pPr>
      <w:r>
        <w:rPr>
          <w:rFonts w:ascii="Garamond" w:eastAsia="Calibri" w:hAnsi="Garamond"/>
          <w:b/>
          <w:spacing w:val="20"/>
          <w:sz w:val="22"/>
          <w:szCs w:val="22"/>
          <w:lang w:eastAsia="en-US"/>
        </w:rPr>
        <w:t>DICHIARA INOLTRE</w:t>
      </w:r>
    </w:p>
    <w:p w:rsidR="00DB6BDA" w:rsidRDefault="00B342CB">
      <w:pPr>
        <w:spacing w:after="200" w:line="276" w:lineRule="auto"/>
        <w:jc w:val="both"/>
        <w:rPr>
          <w:rFonts w:ascii="Garamond" w:eastAsia="SimSun" w:hAnsi="Garamond"/>
          <w:sz w:val="22"/>
          <w:szCs w:val="22"/>
          <w:lang w:eastAsia="en-US"/>
        </w:rPr>
      </w:pPr>
      <w:r>
        <w:rPr>
          <w:rFonts w:ascii="Garamond" w:eastAsia="SimSun" w:hAnsi="Garamond"/>
          <w:sz w:val="22"/>
          <w:szCs w:val="22"/>
          <w:lang w:eastAsia="en-US"/>
        </w:rPr>
        <w:lastRenderedPageBreak/>
        <w:t>Di non trovarsi in stato di fallimento, di liquidazione (anche volontaria), di amministrazione controllata, di concordato preventivo o in qualsiasi altra situazione equivalente secondo la n</w:t>
      </w:r>
      <w:r>
        <w:rPr>
          <w:rFonts w:ascii="Garamond" w:eastAsia="SimSun" w:hAnsi="Garamond"/>
          <w:sz w:val="22"/>
          <w:szCs w:val="22"/>
          <w:lang w:eastAsia="en-US"/>
        </w:rPr>
        <w:t>ormativa statale vigente.</w:t>
      </w:r>
    </w:p>
    <w:p w:rsidR="00DB6BDA" w:rsidRDefault="00B342CB">
      <w:pPr>
        <w:spacing w:after="200" w:line="276" w:lineRule="auto"/>
        <w:jc w:val="center"/>
        <w:rPr>
          <w:rFonts w:ascii="Garamond" w:eastAsia="Calibri" w:hAnsi="Garamond"/>
          <w:b/>
          <w:spacing w:val="20"/>
          <w:sz w:val="22"/>
          <w:szCs w:val="22"/>
          <w:lang w:eastAsia="en-US"/>
        </w:rPr>
      </w:pPr>
      <w:r>
        <w:rPr>
          <w:rFonts w:ascii="Garamond" w:eastAsia="Calibri" w:hAnsi="Garamond"/>
          <w:b/>
          <w:spacing w:val="20"/>
          <w:sz w:val="22"/>
          <w:szCs w:val="22"/>
          <w:lang w:eastAsia="en-US"/>
        </w:rPr>
        <w:t>SI IMPEGNA</w:t>
      </w:r>
    </w:p>
    <w:p w:rsidR="00DB6BDA" w:rsidRDefault="00B342CB">
      <w:pPr>
        <w:spacing w:after="200" w:line="276" w:lineRule="auto"/>
        <w:jc w:val="both"/>
        <w:rPr>
          <w:rFonts w:ascii="Garamond" w:eastAsia="Calibri" w:hAnsi="Garamond"/>
          <w:sz w:val="22"/>
          <w:szCs w:val="22"/>
          <w:lang w:eastAsia="en-US"/>
        </w:rPr>
      </w:pPr>
      <w:r>
        <w:rPr>
          <w:rFonts w:ascii="Garamond" w:eastAsia="Calibri" w:hAnsi="Garamond"/>
          <w:sz w:val="22"/>
          <w:szCs w:val="22"/>
          <w:lang w:eastAsia="en-US"/>
        </w:rPr>
        <w:t>a ripresentare la presente dichiarazione qualora intervengano variazioni rispetto a quanto dichiarato con la presente dichiarazione in occasione di ogni successiva erogazione</w:t>
      </w:r>
    </w:p>
    <w:p w:rsidR="00DB6BDA" w:rsidRDefault="00B342CB">
      <w:pPr>
        <w:spacing w:after="200" w:line="276" w:lineRule="auto"/>
        <w:jc w:val="center"/>
        <w:rPr>
          <w:rFonts w:ascii="Garamond" w:eastAsia="Calibri" w:hAnsi="Garamond"/>
          <w:b/>
          <w:spacing w:val="20"/>
          <w:sz w:val="22"/>
          <w:szCs w:val="22"/>
          <w:lang w:eastAsia="en-US"/>
        </w:rPr>
      </w:pPr>
      <w:r>
        <w:rPr>
          <w:rFonts w:ascii="Garamond" w:eastAsia="Calibri" w:hAnsi="Garamond"/>
          <w:b/>
          <w:spacing w:val="20"/>
          <w:sz w:val="22"/>
          <w:szCs w:val="22"/>
          <w:lang w:eastAsia="en-US"/>
        </w:rPr>
        <w:t>AUTORIZZA</w:t>
      </w:r>
    </w:p>
    <w:p w:rsidR="00DB6BDA" w:rsidRDefault="00B342CB">
      <w:pPr>
        <w:spacing w:after="200" w:line="276" w:lineRule="auto"/>
        <w:jc w:val="both"/>
        <w:rPr>
          <w:rFonts w:ascii="Garamond" w:eastAsia="Calibri" w:hAnsi="Garamond"/>
          <w:color w:val="000000"/>
          <w:sz w:val="22"/>
          <w:szCs w:val="22"/>
          <w:lang w:eastAsia="en-US"/>
        </w:rPr>
      </w:pPr>
      <w:r>
        <w:rPr>
          <w:rFonts w:ascii="Garamond" w:eastAsia="Calibri" w:hAnsi="Garamond"/>
          <w:color w:val="000000"/>
          <w:sz w:val="22"/>
          <w:szCs w:val="22"/>
          <w:lang w:eastAsia="en-US"/>
        </w:rPr>
        <w:t xml:space="preserve">l’Amministrazione concedente al </w:t>
      </w:r>
      <w:r>
        <w:rPr>
          <w:rFonts w:ascii="Garamond" w:eastAsia="Calibri" w:hAnsi="Garamond"/>
          <w:color w:val="000000"/>
          <w:sz w:val="22"/>
          <w:szCs w:val="22"/>
          <w:lang w:eastAsia="en-US"/>
        </w:rPr>
        <w:t xml:space="preserve">trattamento e all’elaborazione dei dati forniti con la presente dichiarazione, per finalità gestionali e statistiche, anche mediante l’ausilio di mezzi elettronici o automatizzati, nel rispetto della sicurezza e della riservatezza e ai sensi dell’articolo </w:t>
      </w:r>
      <w:r>
        <w:rPr>
          <w:rFonts w:ascii="Garamond" w:eastAsia="Calibri" w:hAnsi="Garamond"/>
          <w:color w:val="000000"/>
          <w:sz w:val="22"/>
          <w:szCs w:val="22"/>
          <w:lang w:eastAsia="en-US"/>
        </w:rPr>
        <w:t>38 del citato DPR n. 445/2000 allegando alla presente dichiarazione, copia fotostatica di un documento di identità.</w:t>
      </w:r>
    </w:p>
    <w:p w:rsidR="00DB6BDA" w:rsidRDefault="00B342CB">
      <w:pPr>
        <w:tabs>
          <w:tab w:val="center" w:pos="5670"/>
        </w:tabs>
        <w:spacing w:after="160" w:line="259" w:lineRule="auto"/>
        <w:jc w:val="both"/>
      </w:pPr>
      <w:r>
        <w:rPr>
          <w:rFonts w:ascii="Garamond" w:eastAsia="Calibri" w:hAnsi="Garamond" w:cs="Tahoma"/>
          <w:sz w:val="22"/>
          <w:szCs w:val="22"/>
          <w:lang w:eastAsia="en-US"/>
        </w:rPr>
        <w:tab/>
        <w:t>Il Legale rappresentante o soggetto delegato con potere di firma</w:t>
      </w:r>
    </w:p>
    <w:p w:rsidR="00DB6BDA" w:rsidRDefault="00B342CB">
      <w:pPr>
        <w:tabs>
          <w:tab w:val="center" w:pos="5670"/>
        </w:tabs>
        <w:spacing w:after="160" w:line="259" w:lineRule="auto"/>
        <w:jc w:val="both"/>
      </w:pPr>
      <w:r>
        <w:rPr>
          <w:rFonts w:ascii="Garamond" w:eastAsia="Calibri" w:hAnsi="Garamond" w:cs="Tahoma"/>
          <w:sz w:val="22"/>
          <w:szCs w:val="22"/>
          <w:lang w:eastAsia="en-US"/>
        </w:rPr>
        <w:t xml:space="preserve">                                                    </w:t>
      </w:r>
      <w:r>
        <w:rPr>
          <w:rFonts w:ascii="Garamond" w:eastAsia="Calibri" w:hAnsi="Garamond" w:cs="Tahoma"/>
          <w:sz w:val="22"/>
          <w:szCs w:val="22"/>
          <w:lang w:eastAsia="en-US"/>
        </w:rPr>
        <w:t>___________________________________________________</w:t>
      </w:r>
      <w:r>
        <w:br w:type="page"/>
      </w:r>
    </w:p>
    <w:p w:rsidR="00DB6BDA" w:rsidRDefault="00B342CB">
      <w:pPr>
        <w:spacing w:after="160" w:line="259" w:lineRule="auto"/>
        <w:jc w:val="center"/>
        <w:rPr>
          <w:rFonts w:ascii="Garamond" w:eastAsia="Calibri" w:hAnsi="Garamond"/>
          <w:b/>
          <w:sz w:val="28"/>
          <w:szCs w:val="22"/>
          <w:lang w:eastAsia="en-US"/>
        </w:rPr>
      </w:pPr>
      <w:r>
        <w:rPr>
          <w:rFonts w:ascii="Garamond" w:eastAsia="Calibri" w:hAnsi="Garamond"/>
          <w:b/>
          <w:sz w:val="28"/>
          <w:szCs w:val="22"/>
          <w:lang w:eastAsia="en-US"/>
        </w:rPr>
        <w:lastRenderedPageBreak/>
        <w:t>ISTRUZIONI PER LA COMPILAZIONE DELLE DICHIARAZIONI “DE MINIMIS”</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b/>
          <w:szCs w:val="22"/>
          <w:lang w:eastAsia="en-US"/>
        </w:rPr>
        <w:t>Il legale rappresentante di ogni impresa candidata</w:t>
      </w:r>
      <w:r>
        <w:rPr>
          <w:rFonts w:ascii="Garamond" w:eastAsia="Calibri" w:hAnsi="Garamond"/>
          <w:szCs w:val="22"/>
          <w:lang w:eastAsia="en-US"/>
        </w:rPr>
        <w:t xml:space="preserve"> a ricevere un aiuto in regime “</w:t>
      </w:r>
      <w:r>
        <w:rPr>
          <w:rFonts w:ascii="Garamond" w:eastAsia="Calibri" w:hAnsi="Garamond"/>
          <w:i/>
          <w:szCs w:val="22"/>
          <w:lang w:eastAsia="en-US"/>
        </w:rPr>
        <w:t>de minimis”</w:t>
      </w:r>
      <w:r>
        <w:rPr>
          <w:rFonts w:ascii="Garamond" w:eastAsia="Calibri" w:hAnsi="Garamond"/>
          <w:szCs w:val="22"/>
          <w:lang w:eastAsia="en-US"/>
        </w:rPr>
        <w:t xml:space="preserve"> </w:t>
      </w:r>
      <w:r>
        <w:rPr>
          <w:rFonts w:ascii="Garamond" w:eastAsia="Calibri" w:hAnsi="Garamond"/>
          <w:b/>
          <w:szCs w:val="22"/>
          <w:lang w:eastAsia="en-US"/>
        </w:rPr>
        <w:t>è tenuto a sottoscrivere una dichiarazione</w:t>
      </w:r>
      <w:r>
        <w:rPr>
          <w:rFonts w:ascii="Garamond" w:eastAsia="Calibri" w:hAnsi="Garamond"/>
          <w:szCs w:val="22"/>
          <w:lang w:eastAsia="en-US"/>
        </w:rPr>
        <w:t xml:space="preserve"> – rilasciata ai sensi dell’art. 47 del DPR 445/2000 – che attesti l’ammontare degli aiuti “</w:t>
      </w:r>
      <w:r>
        <w:rPr>
          <w:rFonts w:ascii="Garamond" w:eastAsia="Calibri" w:hAnsi="Garamond"/>
          <w:i/>
          <w:szCs w:val="22"/>
          <w:lang w:eastAsia="en-US"/>
        </w:rPr>
        <w:t>de minimis”</w:t>
      </w:r>
      <w:r>
        <w:rPr>
          <w:rFonts w:ascii="Garamond" w:eastAsia="Calibri" w:hAnsi="Garamond"/>
          <w:szCs w:val="22"/>
          <w:lang w:eastAsia="en-US"/>
        </w:rPr>
        <w:t xml:space="preserve"> ottenuti nell’esercizio finanziario in corso e nei due precedenti.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b/>
          <w:szCs w:val="22"/>
          <w:lang w:eastAsia="en-US"/>
        </w:rPr>
        <w:t>Il nuovo aiuto potrà essere concesso</w:t>
      </w:r>
      <w:r>
        <w:rPr>
          <w:rFonts w:ascii="Garamond" w:eastAsia="Calibri" w:hAnsi="Garamond"/>
          <w:szCs w:val="22"/>
          <w:lang w:eastAsia="en-US"/>
        </w:rPr>
        <w:t xml:space="preserve"> solo </w:t>
      </w:r>
      <w:r>
        <w:rPr>
          <w:rFonts w:ascii="Garamond" w:eastAsia="Calibri" w:hAnsi="Garamond"/>
          <w:b/>
          <w:szCs w:val="22"/>
          <w:lang w:eastAsia="en-US"/>
        </w:rPr>
        <w:t>se</w:t>
      </w:r>
      <w:r>
        <w:rPr>
          <w:rFonts w:ascii="Garamond" w:eastAsia="Calibri" w:hAnsi="Garamond"/>
          <w:szCs w:val="22"/>
          <w:lang w:eastAsia="en-US"/>
        </w:rPr>
        <w:t xml:space="preserve">, sommato a quelli già ottenuti nei tre </w:t>
      </w:r>
      <w:r>
        <w:rPr>
          <w:rFonts w:ascii="Garamond" w:eastAsia="Calibri" w:hAnsi="Garamond"/>
          <w:szCs w:val="22"/>
          <w:lang w:eastAsia="en-US"/>
        </w:rPr>
        <w:t xml:space="preserve">esercizi finanziari suddetti, </w:t>
      </w:r>
      <w:r>
        <w:rPr>
          <w:rFonts w:ascii="Garamond" w:eastAsia="Calibri" w:hAnsi="Garamond"/>
          <w:b/>
          <w:szCs w:val="22"/>
          <w:lang w:eastAsia="en-US"/>
        </w:rPr>
        <w:t>non superi i massimali stabiliti</w:t>
      </w:r>
      <w:r>
        <w:rPr>
          <w:rFonts w:ascii="Garamond" w:eastAsia="Calibri" w:hAnsi="Garamond"/>
          <w:szCs w:val="22"/>
          <w:lang w:eastAsia="en-US"/>
        </w:rPr>
        <w:t xml:space="preserve"> da ogni Regolamento di riferimento.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Poiché il momento rilevante per la verifica dell’ammissibilità è quello in cui avviene la concessione (il momento in cui sorge il diritto all’agevolazione),</w:t>
      </w:r>
      <w:r>
        <w:rPr>
          <w:rFonts w:ascii="Garamond" w:eastAsia="Calibri" w:hAnsi="Garamond"/>
          <w:szCs w:val="22"/>
          <w:lang w:eastAsia="en-US"/>
        </w:rPr>
        <w:t xml:space="preserve"> </w:t>
      </w:r>
      <w:r>
        <w:rPr>
          <w:rFonts w:ascii="Garamond" w:eastAsia="Calibri" w:hAnsi="Garamond"/>
          <w:b/>
          <w:szCs w:val="22"/>
          <w:lang w:eastAsia="en-US"/>
        </w:rPr>
        <w:t>la dichiarazione dovrà essere confermata – o aggiornata – con riferimento al momento della concessione</w:t>
      </w:r>
      <w:r>
        <w:rPr>
          <w:rFonts w:ascii="Garamond" w:eastAsia="Calibri" w:hAnsi="Garamond"/>
          <w:szCs w:val="22"/>
          <w:lang w:eastAsia="en-US"/>
        </w:rPr>
        <w:t xml:space="preserv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Si ricorda che </w:t>
      </w:r>
      <w:r>
        <w:rPr>
          <w:rFonts w:ascii="Garamond" w:eastAsia="Calibri" w:hAnsi="Garamond"/>
          <w:b/>
          <w:szCs w:val="22"/>
          <w:lang w:eastAsia="en-US"/>
        </w:rPr>
        <w:t>se con la concessione fosse superato il massimale</w:t>
      </w:r>
      <w:r>
        <w:rPr>
          <w:rFonts w:ascii="Garamond" w:eastAsia="Calibri" w:hAnsi="Garamond"/>
          <w:szCs w:val="22"/>
          <w:lang w:eastAsia="en-US"/>
        </w:rPr>
        <w:t xml:space="preserve"> previsto, </w:t>
      </w:r>
      <w:r>
        <w:rPr>
          <w:rFonts w:ascii="Garamond" w:eastAsia="Calibri" w:hAnsi="Garamond"/>
          <w:b/>
          <w:szCs w:val="22"/>
          <w:lang w:eastAsia="en-US"/>
        </w:rPr>
        <w:t>l’impresa perderebbe il diritto</w:t>
      </w:r>
      <w:r>
        <w:rPr>
          <w:rFonts w:ascii="Garamond" w:eastAsia="Calibri" w:hAnsi="Garamond"/>
          <w:szCs w:val="22"/>
          <w:lang w:eastAsia="en-US"/>
        </w:rPr>
        <w:t xml:space="preserve"> non all’importo in eccedenza, ma </w:t>
      </w:r>
      <w:r>
        <w:rPr>
          <w:rFonts w:ascii="Garamond" w:eastAsia="Calibri" w:hAnsi="Garamond"/>
          <w:b/>
          <w:szCs w:val="22"/>
          <w:lang w:eastAsia="en-US"/>
        </w:rPr>
        <w:t>all’intero</w:t>
      </w:r>
      <w:r>
        <w:rPr>
          <w:rFonts w:ascii="Garamond" w:eastAsia="Calibri" w:hAnsi="Garamond"/>
          <w:b/>
          <w:szCs w:val="22"/>
          <w:lang w:eastAsia="en-US"/>
        </w:rPr>
        <w:t xml:space="preserve"> importo dell’aiuto oggetto della concessione</w:t>
      </w:r>
      <w:r>
        <w:rPr>
          <w:rFonts w:ascii="Garamond" w:eastAsia="Calibri" w:hAnsi="Garamond"/>
          <w:szCs w:val="22"/>
          <w:lang w:eastAsia="en-US"/>
        </w:rPr>
        <w:t xml:space="preserve"> in conseguenza del quale tale massimale è stato superato. </w:t>
      </w:r>
    </w:p>
    <w:p w:rsidR="00DB6BDA" w:rsidRDefault="00B342CB">
      <w:pPr>
        <w:shd w:val="clear" w:color="auto" w:fill="D9D9D9"/>
        <w:spacing w:before="120" w:after="120" w:line="259" w:lineRule="auto"/>
        <w:jc w:val="both"/>
        <w:rPr>
          <w:rFonts w:ascii="Garamond" w:eastAsia="Calibri" w:hAnsi="Garamond"/>
          <w:b/>
          <w:smallCaps/>
          <w:szCs w:val="22"/>
          <w:lang w:eastAsia="en-US"/>
        </w:rPr>
      </w:pPr>
      <w:r>
        <w:rPr>
          <w:rFonts w:ascii="Garamond" w:eastAsia="Calibri" w:hAnsi="Garamond"/>
          <w:b/>
          <w:smallCaps/>
          <w:szCs w:val="22"/>
          <w:lang w:eastAsia="en-US"/>
        </w:rPr>
        <w:t>Sezione A: Come individuare il beneficiario – Il concetto di “controllo” e l’impresa unica</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Le regole europee stabiliscono che, ai fini della verifica d</w:t>
      </w:r>
      <w:r>
        <w:rPr>
          <w:rFonts w:ascii="Garamond" w:eastAsia="Calibri" w:hAnsi="Garamond"/>
          <w:szCs w:val="22"/>
          <w:lang w:eastAsia="en-US"/>
        </w:rPr>
        <w:t>el rispetto dei massimali, “le entità controllate (di diritto o di fatto) dalla stessa entità debbano essere considerate come un’unica impresa beneficiaria”. Ne consegue che nel rilasciare la dichiarazione “</w:t>
      </w:r>
      <w:r>
        <w:rPr>
          <w:rFonts w:ascii="Garamond" w:eastAsia="Calibri" w:hAnsi="Garamond"/>
          <w:i/>
          <w:szCs w:val="22"/>
          <w:lang w:eastAsia="en-US"/>
        </w:rPr>
        <w:t>de minimis”</w:t>
      </w:r>
      <w:r>
        <w:rPr>
          <w:rFonts w:ascii="Garamond" w:eastAsia="Calibri" w:hAnsi="Garamond"/>
          <w:szCs w:val="22"/>
          <w:lang w:eastAsia="en-US"/>
        </w:rPr>
        <w:t xml:space="preserve"> si dovrà tener conto </w:t>
      </w:r>
      <w:r>
        <w:rPr>
          <w:rFonts w:ascii="Garamond" w:eastAsia="Calibri" w:hAnsi="Garamond"/>
          <w:b/>
          <w:szCs w:val="22"/>
          <w:lang w:eastAsia="en-US"/>
        </w:rPr>
        <w:t>degli aiuti otte</w:t>
      </w:r>
      <w:r>
        <w:rPr>
          <w:rFonts w:ascii="Garamond" w:eastAsia="Calibri" w:hAnsi="Garamond"/>
          <w:b/>
          <w:szCs w:val="22"/>
          <w:lang w:eastAsia="en-US"/>
        </w:rPr>
        <w:t>nuti</w:t>
      </w:r>
      <w:r>
        <w:rPr>
          <w:rFonts w:ascii="Garamond" w:eastAsia="Calibri" w:hAnsi="Garamond"/>
          <w:szCs w:val="22"/>
          <w:lang w:eastAsia="en-US"/>
        </w:rPr>
        <w:t xml:space="preserve"> nel triennio di riferimento </w:t>
      </w:r>
      <w:r>
        <w:rPr>
          <w:rFonts w:ascii="Garamond" w:eastAsia="Calibri" w:hAnsi="Garamond"/>
          <w:b/>
          <w:szCs w:val="22"/>
          <w:lang w:eastAsia="en-US"/>
        </w:rPr>
        <w:t>non solo dall’impresa richiedente</w:t>
      </w:r>
      <w:r>
        <w:rPr>
          <w:rFonts w:ascii="Garamond" w:eastAsia="Calibri" w:hAnsi="Garamond"/>
          <w:szCs w:val="22"/>
          <w:lang w:eastAsia="en-US"/>
        </w:rPr>
        <w:t xml:space="preserve">, ma </w:t>
      </w:r>
      <w:r>
        <w:rPr>
          <w:rFonts w:ascii="Garamond" w:eastAsia="Calibri" w:hAnsi="Garamond"/>
          <w:b/>
          <w:szCs w:val="22"/>
          <w:lang w:eastAsia="en-US"/>
        </w:rPr>
        <w:t>anche da tutte le imprese</w:t>
      </w:r>
      <w:r>
        <w:rPr>
          <w:rFonts w:ascii="Garamond" w:eastAsia="Calibri" w:hAnsi="Garamond"/>
          <w:szCs w:val="22"/>
          <w:lang w:eastAsia="en-US"/>
        </w:rPr>
        <w:t xml:space="preserve">, a monte o a valle, </w:t>
      </w:r>
      <w:r>
        <w:rPr>
          <w:rFonts w:ascii="Garamond" w:eastAsia="Calibri" w:hAnsi="Garamond"/>
          <w:b/>
          <w:szCs w:val="22"/>
          <w:lang w:eastAsia="en-US"/>
        </w:rPr>
        <w:t>legate ad essa</w:t>
      </w:r>
      <w:r>
        <w:rPr>
          <w:rFonts w:ascii="Garamond" w:eastAsia="Calibri" w:hAnsi="Garamond"/>
          <w:szCs w:val="22"/>
          <w:lang w:eastAsia="en-US"/>
        </w:rPr>
        <w:t xml:space="preserve"> da un rapporto di collegamento (controllo), nell’ambito dello stesso Stato membro. Fanno eccezione le imprese tra le quali i</w:t>
      </w:r>
      <w:r>
        <w:rPr>
          <w:rFonts w:ascii="Garamond" w:eastAsia="Calibri" w:hAnsi="Garamond"/>
          <w:szCs w:val="22"/>
          <w:lang w:eastAsia="en-US"/>
        </w:rPr>
        <w:t>l collegamento si realizza attraverso un Ente pubblico, che sono prese in considerazione singolarmente. Fanno eccezione anche le imprese tra quali il collegamento si realizza attraverso persone fisiche, che non dà luogo alla “impresa unica”. Il rapporto di</w:t>
      </w:r>
      <w:r>
        <w:rPr>
          <w:rFonts w:ascii="Garamond" w:eastAsia="Calibri" w:hAnsi="Garamond"/>
          <w:szCs w:val="22"/>
          <w:lang w:eastAsia="en-US"/>
        </w:rPr>
        <w:t xml:space="preserve"> collegamento (controllo) può essere anche </w:t>
      </w:r>
      <w:r>
        <w:rPr>
          <w:rFonts w:ascii="Garamond" w:eastAsia="Calibri" w:hAnsi="Garamond"/>
          <w:b/>
          <w:szCs w:val="22"/>
          <w:lang w:eastAsia="en-US"/>
        </w:rPr>
        <w:t>indiretto</w:t>
      </w:r>
      <w:r>
        <w:rPr>
          <w:rFonts w:ascii="Garamond" w:eastAsia="Calibri" w:hAnsi="Garamond"/>
          <w:szCs w:val="22"/>
          <w:lang w:eastAsia="en-US"/>
        </w:rPr>
        <w:t>, cioè può sussistere anche per il tramite di un’impresa terza.</w:t>
      </w:r>
    </w:p>
    <w:p w:rsidR="00DB6BDA" w:rsidRDefault="00B342CB">
      <w:pPr>
        <w:spacing w:before="120" w:after="120" w:line="259" w:lineRule="auto"/>
        <w:jc w:val="both"/>
        <w:rPr>
          <w:rFonts w:ascii="Garamond" w:eastAsia="Calibri" w:hAnsi="Garamond"/>
          <w:b/>
          <w:szCs w:val="22"/>
          <w:lang w:eastAsia="en-US"/>
        </w:rPr>
      </w:pPr>
      <w:r>
        <w:rPr>
          <w:rFonts w:ascii="Garamond" w:eastAsia="Calibri" w:hAnsi="Garamond"/>
          <w:b/>
          <w:noProof/>
          <w:szCs w:val="22"/>
        </w:rPr>
        <mc:AlternateContent>
          <mc:Choice Requires="wps">
            <w:drawing>
              <wp:anchor distT="0" distB="0" distL="114300" distR="114300" simplePos="0" relativeHeight="2" behindDoc="0" locked="0" layoutInCell="1" allowOverlap="1" wp14:anchorId="0A2C5B91">
                <wp:simplePos x="0" y="0"/>
                <wp:positionH relativeFrom="margin">
                  <wp:posOffset>-15240</wp:posOffset>
                </wp:positionH>
                <wp:positionV relativeFrom="paragraph">
                  <wp:posOffset>6985</wp:posOffset>
                </wp:positionV>
                <wp:extent cx="6146165" cy="2288540"/>
                <wp:effectExtent l="0" t="0" r="28575" b="19050"/>
                <wp:wrapNone/>
                <wp:docPr id="1" name="Rettangolo 13"/>
                <wp:cNvGraphicFramePr/>
                <a:graphic xmlns:a="http://schemas.openxmlformats.org/drawingml/2006/main">
                  <a:graphicData uri="http://schemas.microsoft.com/office/word/2010/wordprocessingShape">
                    <wps:wsp>
                      <wps:cNvSpPr/>
                      <wps:spPr>
                        <a:xfrm>
                          <a:off x="0" y="0"/>
                          <a:ext cx="6145560" cy="2287800"/>
                        </a:xfrm>
                        <a:prstGeom prst="rect">
                          <a:avLst/>
                        </a:prstGeom>
                        <a:solidFill>
                          <a:srgbClr val="F2F2F2"/>
                        </a:solidFill>
                        <a:ln w="12600">
                          <a:solidFill>
                            <a:srgbClr val="A5A5A5"/>
                          </a:solidFill>
                          <a:miter/>
                        </a:ln>
                      </wps:spPr>
                      <wps:style>
                        <a:lnRef idx="0">
                          <a:scrgbClr r="0" g="0" b="0"/>
                        </a:lnRef>
                        <a:fillRef idx="0">
                          <a:scrgbClr r="0" g="0" b="0"/>
                        </a:fillRef>
                        <a:effectRef idx="0">
                          <a:scrgbClr r="0" g="0" b="0"/>
                        </a:effectRef>
                        <a:fontRef idx="minor"/>
                      </wps:style>
                      <wps:txbx>
                        <w:txbxContent>
                          <w:p w:rsidR="00DB6BDA" w:rsidRDefault="00B342CB">
                            <w:pPr>
                              <w:pStyle w:val="Contenutocornice"/>
                              <w:jc w:val="both"/>
                              <w:rPr>
                                <w:rFonts w:ascii="Calibri Light" w:hAnsi="Calibri Light"/>
                                <w:b/>
                                <w:sz w:val="22"/>
                              </w:rPr>
                            </w:pPr>
                            <w:r>
                              <w:rPr>
                                <w:rFonts w:ascii="Calibri Light" w:hAnsi="Calibri Light"/>
                                <w:b/>
                                <w:color w:val="000000"/>
                                <w:sz w:val="22"/>
                              </w:rPr>
                              <w:t xml:space="preserve">Art. 2, par. 2 Regolamento n. 1408/2013/UE </w:t>
                            </w:r>
                          </w:p>
                          <w:p w:rsidR="00DB6BDA" w:rsidRDefault="00B342CB">
                            <w:pPr>
                              <w:pStyle w:val="Contenutocornice"/>
                              <w:jc w:val="both"/>
                              <w:rPr>
                                <w:rFonts w:ascii="Calibri Light" w:hAnsi="Calibri Light"/>
                                <w:sz w:val="22"/>
                              </w:rPr>
                            </w:pPr>
                            <w:r>
                              <w:rPr>
                                <w:rFonts w:ascii="Calibri Light" w:hAnsi="Calibri Light"/>
                                <w:color w:val="000000"/>
                                <w:sz w:val="22"/>
                              </w:rPr>
                              <w:t>Ai fini del presente regolamento, s'intende per «impresa unica» l’insieme delle imprese fra l</w:t>
                            </w:r>
                            <w:r>
                              <w:rPr>
                                <w:rFonts w:ascii="Calibri Light" w:hAnsi="Calibri Light"/>
                                <w:color w:val="000000"/>
                                <w:sz w:val="22"/>
                              </w:rPr>
                              <w:t xml:space="preserve">e quali esiste almeno una delle relazioni seguenti: </w:t>
                            </w:r>
                          </w:p>
                          <w:p w:rsidR="00DB6BDA" w:rsidRDefault="00B342CB">
                            <w:pPr>
                              <w:pStyle w:val="Contenutocornice"/>
                              <w:numPr>
                                <w:ilvl w:val="0"/>
                                <w:numId w:val="1"/>
                              </w:numPr>
                              <w:spacing w:line="259" w:lineRule="auto"/>
                              <w:ind w:left="714" w:hanging="357"/>
                              <w:contextualSpacing/>
                              <w:jc w:val="both"/>
                              <w:rPr>
                                <w:rFonts w:ascii="Calibri Light" w:hAnsi="Calibri Light"/>
                                <w:sz w:val="22"/>
                              </w:rPr>
                            </w:pPr>
                            <w:r>
                              <w:rPr>
                                <w:rFonts w:ascii="Calibri Light" w:hAnsi="Calibri Light"/>
                                <w:color w:val="000000"/>
                                <w:sz w:val="22"/>
                              </w:rPr>
                              <w:t xml:space="preserve">un’impresa detiene la maggioranza dei diritti di voto degli azionisti o soci di un’altra impresa; </w:t>
                            </w:r>
                          </w:p>
                          <w:p w:rsidR="00DB6BDA" w:rsidRDefault="00B342CB">
                            <w:pPr>
                              <w:pStyle w:val="Contenutocornice"/>
                              <w:numPr>
                                <w:ilvl w:val="0"/>
                                <w:numId w:val="1"/>
                              </w:numPr>
                              <w:spacing w:line="259" w:lineRule="auto"/>
                              <w:ind w:left="714" w:hanging="357"/>
                              <w:contextualSpacing/>
                              <w:jc w:val="both"/>
                              <w:rPr>
                                <w:rFonts w:ascii="Calibri Light" w:hAnsi="Calibri Light"/>
                                <w:sz w:val="22"/>
                              </w:rPr>
                            </w:pPr>
                            <w:r>
                              <w:rPr>
                                <w:rFonts w:ascii="Calibri Light" w:hAnsi="Calibri Light"/>
                                <w:color w:val="000000"/>
                                <w:sz w:val="22"/>
                              </w:rPr>
                              <w:t xml:space="preserve">un’impresa ha il diritto di nominare o revocare la maggioranza dei membri del consiglio di amministrazione, direzione o sorveglianza di un’altra impresa; </w:t>
                            </w:r>
                          </w:p>
                          <w:p w:rsidR="00DB6BDA" w:rsidRDefault="00B342CB">
                            <w:pPr>
                              <w:pStyle w:val="Contenutocornice"/>
                              <w:numPr>
                                <w:ilvl w:val="0"/>
                                <w:numId w:val="1"/>
                              </w:numPr>
                              <w:spacing w:line="259" w:lineRule="auto"/>
                              <w:ind w:left="714" w:hanging="357"/>
                              <w:contextualSpacing/>
                              <w:jc w:val="both"/>
                              <w:rPr>
                                <w:rFonts w:ascii="Calibri Light" w:hAnsi="Calibri Light"/>
                                <w:sz w:val="22"/>
                              </w:rPr>
                            </w:pPr>
                            <w:r>
                              <w:rPr>
                                <w:rFonts w:ascii="Calibri Light" w:hAnsi="Calibri Light"/>
                                <w:color w:val="000000"/>
                                <w:sz w:val="22"/>
                              </w:rPr>
                              <w:t>un’impresa ha il diritto di esercitare un’influenza dominante su un’altra impresa in virtù di un cont</w:t>
                            </w:r>
                            <w:r>
                              <w:rPr>
                                <w:rFonts w:ascii="Calibri Light" w:hAnsi="Calibri Light"/>
                                <w:color w:val="000000"/>
                                <w:sz w:val="22"/>
                              </w:rPr>
                              <w:t xml:space="preserve">ratto concluso con quest’ultima oppure in virtù di una clausola dello statuto di quest’ultima; </w:t>
                            </w:r>
                          </w:p>
                          <w:p w:rsidR="00DB6BDA" w:rsidRDefault="00B342CB">
                            <w:pPr>
                              <w:pStyle w:val="Contenutocornice"/>
                              <w:numPr>
                                <w:ilvl w:val="0"/>
                                <w:numId w:val="1"/>
                              </w:numPr>
                              <w:spacing w:line="259" w:lineRule="auto"/>
                              <w:ind w:left="714" w:hanging="357"/>
                              <w:contextualSpacing/>
                              <w:jc w:val="both"/>
                              <w:rPr>
                                <w:rFonts w:ascii="Calibri Light" w:hAnsi="Calibri Light"/>
                                <w:sz w:val="22"/>
                              </w:rPr>
                            </w:pPr>
                            <w:r>
                              <w:rPr>
                                <w:rFonts w:ascii="Calibri Light" w:hAnsi="Calibri Light"/>
                                <w:color w:val="000000"/>
                                <w:sz w:val="22"/>
                              </w:rPr>
                              <w:t>un’impresa azionista o socia di un’altra impresa controlla da sola, in virtù di un accordo stipulato con altri azionisti o soci dell’altra impresa, la maggioran</w:t>
                            </w:r>
                            <w:r>
                              <w:rPr>
                                <w:rFonts w:ascii="Calibri Light" w:hAnsi="Calibri Light"/>
                                <w:color w:val="000000"/>
                                <w:sz w:val="22"/>
                              </w:rPr>
                              <w:t>za dei diritti di voto degli azionisti o soci di quest’ultima. Le imprese fra le quali intercorre una delle relazioni di cui al primo comma, lettere da a) a d), per il tramite di una o più altre imprese sono anch’esse considerate un’impresa unica.</w:t>
                            </w:r>
                          </w:p>
                          <w:p w:rsidR="00DB6BDA" w:rsidRDefault="00DB6BDA">
                            <w:pPr>
                              <w:pStyle w:val="Contenutocornice"/>
                              <w:jc w:val="center"/>
                            </w:pPr>
                          </w:p>
                        </w:txbxContent>
                      </wps:txbx>
                      <wps:bodyPr anchor="ctr">
                        <a:prstTxWarp prst="textNoShape">
                          <a:avLst/>
                        </a:prstTxWarp>
                        <a:noAutofit/>
                      </wps:bodyPr>
                    </wps:wsp>
                  </a:graphicData>
                </a:graphic>
              </wp:anchor>
            </w:drawing>
          </mc:Choice>
          <mc:Fallback>
            <w:pict>
              <v:rect id="shape_0" ID="Rettangolo 13" fillcolor="#f2f2f2" stroked="t" style="position:absolute;margin-left:-1.2pt;margin-top:0.55pt;width:483.85pt;height:180.1pt;mso-position-horizontal-relative:margin" wp14:anchorId="0A2C5B91">
                <w10:wrap type="square"/>
                <v:fill o:detectmouseclick="t" type="solid" color2="#0d0d0d"/>
                <v:stroke color="#a5a5a5" weight="12600" joinstyle="miter" endcap="flat"/>
                <v:textbox>
                  <w:txbxContent>
                    <w:p>
                      <w:pPr>
                        <w:pStyle w:val="Contenutocornice"/>
                        <w:jc w:val="both"/>
                        <w:rPr>
                          <w:rFonts w:ascii="Calibri Light" w:hAnsi="Calibri Light"/>
                          <w:b/>
                          <w:b/>
                          <w:sz w:val="22"/>
                        </w:rPr>
                      </w:pPr>
                      <w:r>
                        <w:rPr>
                          <w:rFonts w:ascii="Calibri Light" w:hAnsi="Calibri Light"/>
                          <w:b/>
                          <w:color w:val="000000"/>
                          <w:sz w:val="22"/>
                        </w:rPr>
                        <w:t xml:space="preserve">Art. 2, par. 2 Regolamento n. 1408/2013/UE </w:t>
                      </w:r>
                    </w:p>
                    <w:p>
                      <w:pPr>
                        <w:pStyle w:val="Contenutocornice"/>
                        <w:jc w:val="both"/>
                        <w:rPr>
                          <w:rFonts w:ascii="Calibri Light" w:hAnsi="Calibri Light"/>
                          <w:sz w:val="22"/>
                        </w:rPr>
                      </w:pPr>
                      <w:r>
                        <w:rPr>
                          <w:rFonts w:ascii="Calibri Light" w:hAnsi="Calibri Light"/>
                          <w:color w:val="000000"/>
                          <w:sz w:val="22"/>
                        </w:rPr>
                        <w:t xml:space="preserve">Ai fini del presente regolamento, s'intende per «impresa unica» l’insieme delle imprese fra le quali esiste almeno una delle relazioni seguenti: </w:t>
                      </w:r>
                    </w:p>
                    <w:p>
                      <w:pPr>
                        <w:pStyle w:val="Contenutocornice"/>
                        <w:numPr>
                          <w:ilvl w:val="0"/>
                          <w:numId w:val="1"/>
                        </w:numPr>
                        <w:spacing w:lineRule="auto" w:line="259" w:before="0" w:after="0"/>
                        <w:ind w:left="714" w:hanging="357"/>
                        <w:contextualSpacing/>
                        <w:jc w:val="both"/>
                        <w:rPr>
                          <w:rFonts w:ascii="Calibri Light" w:hAnsi="Calibri Light"/>
                          <w:sz w:val="22"/>
                        </w:rPr>
                      </w:pPr>
                      <w:r>
                        <w:rPr>
                          <w:rFonts w:ascii="Calibri Light" w:hAnsi="Calibri Light"/>
                          <w:color w:val="000000"/>
                          <w:sz w:val="22"/>
                        </w:rPr>
                        <w:t xml:space="preserve">un’impresa detiene la maggioranza dei diritti di voto degli azionisti o soci di un’altra impresa; </w:t>
                      </w:r>
                    </w:p>
                    <w:p>
                      <w:pPr>
                        <w:pStyle w:val="Contenutocornice"/>
                        <w:numPr>
                          <w:ilvl w:val="0"/>
                          <w:numId w:val="1"/>
                        </w:numPr>
                        <w:spacing w:lineRule="auto" w:line="259" w:before="0" w:after="0"/>
                        <w:ind w:left="714" w:hanging="357"/>
                        <w:contextualSpacing/>
                        <w:jc w:val="both"/>
                        <w:rPr>
                          <w:rFonts w:ascii="Calibri Light" w:hAnsi="Calibri Light"/>
                          <w:sz w:val="22"/>
                        </w:rPr>
                      </w:pPr>
                      <w:r>
                        <w:rPr>
                          <w:rFonts w:ascii="Calibri Light" w:hAnsi="Calibri Light"/>
                          <w:color w:val="000000"/>
                          <w:sz w:val="22"/>
                        </w:rPr>
                        <w:t xml:space="preserve">un’impresa ha il diritto di nominare o revocare la maggioranza dei membri del consiglio di amministrazione, direzione o sorveglianza di un’altra impresa; </w:t>
                      </w:r>
                    </w:p>
                    <w:p>
                      <w:pPr>
                        <w:pStyle w:val="Contenutocornice"/>
                        <w:numPr>
                          <w:ilvl w:val="0"/>
                          <w:numId w:val="1"/>
                        </w:numPr>
                        <w:spacing w:lineRule="auto" w:line="259" w:before="0" w:after="0"/>
                        <w:ind w:left="714" w:hanging="357"/>
                        <w:contextualSpacing/>
                        <w:jc w:val="both"/>
                        <w:rPr>
                          <w:rFonts w:ascii="Calibri Light" w:hAnsi="Calibri Light"/>
                          <w:sz w:val="22"/>
                        </w:rPr>
                      </w:pPr>
                      <w:r>
                        <w:rPr>
                          <w:rFonts w:ascii="Calibri Light" w:hAnsi="Calibri Light"/>
                          <w:color w:val="000000"/>
                          <w:sz w:val="22"/>
                        </w:rPr>
                        <w:t xml:space="preserve">un’impresa ha il diritto di esercitare un’influenza dominante su un’altra impresa in virtù di un contratto concluso con quest’ultima oppure in virtù di una clausola dello statuto di quest’ultima; </w:t>
                      </w:r>
                    </w:p>
                    <w:p>
                      <w:pPr>
                        <w:pStyle w:val="Contenutocornice"/>
                        <w:numPr>
                          <w:ilvl w:val="0"/>
                          <w:numId w:val="1"/>
                        </w:numPr>
                        <w:spacing w:lineRule="auto" w:line="259" w:before="0" w:after="0"/>
                        <w:ind w:left="714" w:hanging="357"/>
                        <w:contextualSpacing/>
                        <w:jc w:val="both"/>
                        <w:rPr>
                          <w:rFonts w:ascii="Calibri Light" w:hAnsi="Calibri Light"/>
                          <w:sz w:val="22"/>
                        </w:rPr>
                      </w:pPr>
                      <w:r>
                        <w:rPr>
                          <w:rFonts w:ascii="Calibri Light" w:hAnsi="Calibri Light"/>
                          <w:color w:val="000000"/>
                          <w:sz w:val="22"/>
                        </w:rPr>
                        <w:t>un’impresa azionista o socia di un’altra impresa controlla da sola, in virtù di un accordo stipulato con altri azionisti o soci dell’altra impresa, la maggioranza dei diritti di voto degli azionisti o soci di quest’ultima. Le imprese fra le quali intercorre una delle relazioni di cui al primo comma, lettere da a) a d), per il tramite di una o più altre imprese sono anch’esse considerate un’impresa unica.</w:t>
                      </w:r>
                    </w:p>
                    <w:p>
                      <w:pPr>
                        <w:pStyle w:val="Contenutocornice"/>
                        <w:jc w:val="center"/>
                        <w:rPr/>
                      </w:pPr>
                      <w:r>
                        <w:rPr/>
                      </w:r>
                    </w:p>
                  </w:txbxContent>
                </v:textbox>
              </v:rect>
            </w:pict>
          </mc:Fallback>
        </mc:AlternateContent>
      </w: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DB6BDA">
      <w:pPr>
        <w:spacing w:before="120" w:after="120" w:line="259" w:lineRule="auto"/>
        <w:jc w:val="both"/>
        <w:rPr>
          <w:rFonts w:ascii="Garamond" w:eastAsia="Calibri" w:hAnsi="Garamond"/>
          <w:b/>
          <w:szCs w:val="22"/>
          <w:lang w:eastAsia="en-US"/>
        </w:rPr>
      </w:pPr>
    </w:p>
    <w:p w:rsidR="00DB6BDA" w:rsidRDefault="00B342CB">
      <w:pPr>
        <w:shd w:val="clear" w:color="auto" w:fill="D9D9D9"/>
        <w:spacing w:before="120" w:after="120" w:line="259" w:lineRule="auto"/>
        <w:jc w:val="both"/>
        <w:rPr>
          <w:rFonts w:ascii="Garamond" w:eastAsia="Calibri" w:hAnsi="Garamond"/>
          <w:b/>
          <w:smallCaps/>
          <w:szCs w:val="22"/>
          <w:lang w:eastAsia="en-US"/>
        </w:rPr>
      </w:pPr>
      <w:r>
        <w:rPr>
          <w:rFonts w:ascii="Garamond" w:eastAsia="Calibri" w:hAnsi="Garamond"/>
          <w:b/>
          <w:smallCaps/>
          <w:szCs w:val="22"/>
          <w:lang w:eastAsia="en-US"/>
        </w:rPr>
        <w:t>Sezione B: Rispetto del massimale</w:t>
      </w:r>
    </w:p>
    <w:p w:rsidR="00DB6BDA" w:rsidRDefault="00B342CB">
      <w:pPr>
        <w:spacing w:before="120" w:after="120" w:line="259" w:lineRule="auto"/>
        <w:jc w:val="both"/>
        <w:rPr>
          <w:rFonts w:ascii="Garamond" w:eastAsia="Calibri" w:hAnsi="Garamond"/>
          <w:i/>
          <w:szCs w:val="22"/>
          <w:lang w:eastAsia="en-US"/>
        </w:rPr>
      </w:pPr>
      <w:r>
        <w:rPr>
          <w:rFonts w:ascii="Garamond" w:eastAsia="Calibri" w:hAnsi="Garamond"/>
          <w:i/>
          <w:szCs w:val="22"/>
          <w:lang w:eastAsia="en-US"/>
        </w:rPr>
        <w:t xml:space="preserve">Quali agevolazioni indicare?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lastRenderedPageBreak/>
        <w:t>Devono essere riportate tutte le agevolazioni ottenute in “</w:t>
      </w:r>
      <w:r>
        <w:rPr>
          <w:rFonts w:ascii="Garamond" w:eastAsia="Calibri" w:hAnsi="Garamond"/>
          <w:i/>
          <w:szCs w:val="22"/>
          <w:lang w:eastAsia="en-US"/>
        </w:rPr>
        <w:t>de minimis”</w:t>
      </w:r>
      <w:r>
        <w:rPr>
          <w:rFonts w:ascii="Garamond" w:eastAsia="Calibri" w:hAnsi="Garamond"/>
          <w:szCs w:val="22"/>
          <w:lang w:eastAsia="en-US"/>
        </w:rPr>
        <w:t xml:space="preserve"> ai sensi di qualsiasi regolamento europeo relativo a tale tipologia di aiuti, specificando, per ogni aiuto, a quale reg</w:t>
      </w:r>
      <w:r>
        <w:rPr>
          <w:rFonts w:ascii="Garamond" w:eastAsia="Calibri" w:hAnsi="Garamond"/>
          <w:szCs w:val="22"/>
          <w:lang w:eastAsia="en-US"/>
        </w:rPr>
        <w:t xml:space="preserve">olamento faccia riferimento (agricoltura, pesca, SIEG o “generale”).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Nel caso di </w:t>
      </w:r>
      <w:r>
        <w:rPr>
          <w:rFonts w:ascii="Garamond" w:eastAsia="Calibri" w:hAnsi="Garamond"/>
          <w:b/>
          <w:szCs w:val="22"/>
          <w:lang w:eastAsia="en-US"/>
        </w:rPr>
        <w:t>aiuti concessi in forma diversa dalla sovvenzione</w:t>
      </w:r>
      <w:r>
        <w:rPr>
          <w:rFonts w:ascii="Garamond" w:eastAsia="Calibri" w:hAnsi="Garamond"/>
          <w:szCs w:val="22"/>
          <w:lang w:eastAsia="en-US"/>
        </w:rPr>
        <w:t xml:space="preserve"> (ad esempio, come prestito agevolato o come garanzia), dovrà essere indicato </w:t>
      </w:r>
      <w:r>
        <w:rPr>
          <w:rFonts w:ascii="Garamond" w:eastAsia="Calibri" w:hAnsi="Garamond"/>
          <w:b/>
          <w:szCs w:val="22"/>
          <w:lang w:eastAsia="en-US"/>
        </w:rPr>
        <w:t>l’importo dell’equivalente sovvenzione</w:t>
      </w:r>
      <w:r>
        <w:rPr>
          <w:rFonts w:ascii="Garamond" w:eastAsia="Calibri" w:hAnsi="Garamond"/>
          <w:szCs w:val="22"/>
          <w:lang w:eastAsia="en-US"/>
        </w:rPr>
        <w:t>, come ri</w:t>
      </w:r>
      <w:r>
        <w:rPr>
          <w:rFonts w:ascii="Garamond" w:eastAsia="Calibri" w:hAnsi="Garamond"/>
          <w:szCs w:val="22"/>
          <w:lang w:eastAsia="en-US"/>
        </w:rPr>
        <w:t xml:space="preserve">sulta dall’atto di concessione di ciascun aiuto.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In relazione a ciascun aiuto deve essere rispettato il massimale triennale stabilito dal regolamento di riferimento e nell’avviso.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Un’impresa può essere beneficiaria di aiuti ai sensi di più regolamenti “</w:t>
      </w:r>
      <w:r>
        <w:rPr>
          <w:rFonts w:ascii="Garamond" w:eastAsia="Calibri" w:hAnsi="Garamond"/>
          <w:i/>
          <w:szCs w:val="22"/>
          <w:lang w:eastAsia="en-US"/>
        </w:rPr>
        <w:t>d</w:t>
      </w:r>
      <w:r>
        <w:rPr>
          <w:rFonts w:ascii="Garamond" w:eastAsia="Calibri" w:hAnsi="Garamond"/>
          <w:i/>
          <w:szCs w:val="22"/>
          <w:lang w:eastAsia="en-US"/>
        </w:rPr>
        <w:t>e minimis”</w:t>
      </w:r>
      <w:r>
        <w:rPr>
          <w:rFonts w:ascii="Garamond" w:eastAsia="Calibri" w:hAnsi="Garamond"/>
          <w:szCs w:val="22"/>
          <w:lang w:eastAsia="en-US"/>
        </w:rPr>
        <w:t>; a ciascuno di tali aiuti si applicherà il massimale pertinente, con l’avvertenza che l’importo totale degli aiuti “</w:t>
      </w:r>
      <w:r>
        <w:rPr>
          <w:rFonts w:ascii="Garamond" w:eastAsia="Calibri" w:hAnsi="Garamond"/>
          <w:i/>
          <w:szCs w:val="22"/>
          <w:lang w:eastAsia="en-US"/>
        </w:rPr>
        <w:t>de minimis”</w:t>
      </w:r>
      <w:r>
        <w:rPr>
          <w:rFonts w:ascii="Garamond" w:eastAsia="Calibri" w:hAnsi="Garamond"/>
          <w:szCs w:val="22"/>
          <w:lang w:eastAsia="en-US"/>
        </w:rPr>
        <w:t xml:space="preserve"> ottenuti in ciascun triennio di riferimento non potrà comunque superare il tetto massimo più elevato tra quelli cui s</w:t>
      </w:r>
      <w:r>
        <w:rPr>
          <w:rFonts w:ascii="Garamond" w:eastAsia="Calibri" w:hAnsi="Garamond"/>
          <w:szCs w:val="22"/>
          <w:lang w:eastAsia="en-US"/>
        </w:rPr>
        <w:t xml:space="preserve">i fa riferimento.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Inoltre, qualora l'importo concesso sia stato nel frattempo anche </w:t>
      </w:r>
      <w:r>
        <w:rPr>
          <w:rFonts w:ascii="Garamond" w:eastAsia="Calibri" w:hAnsi="Garamond"/>
          <w:b/>
          <w:szCs w:val="22"/>
          <w:lang w:eastAsia="en-US"/>
        </w:rPr>
        <w:t>liquidato a saldo</w:t>
      </w:r>
      <w:r>
        <w:rPr>
          <w:rFonts w:ascii="Garamond" w:eastAsia="Calibri" w:hAnsi="Garamond"/>
          <w:szCs w:val="22"/>
          <w:lang w:eastAsia="en-US"/>
        </w:rPr>
        <w:t xml:space="preserve">, l'impresa potrà dichiarare anche questo importo effettivamente ricevuto se di valore diverso (inferiore) da quello concesso. </w:t>
      </w:r>
      <w:r>
        <w:rPr>
          <w:rFonts w:ascii="Garamond" w:eastAsia="Calibri" w:hAnsi="Garamond"/>
          <w:b/>
          <w:szCs w:val="22"/>
          <w:lang w:eastAsia="en-US"/>
        </w:rPr>
        <w:t xml:space="preserve">Fino al momento in cui non </w:t>
      </w:r>
      <w:r>
        <w:rPr>
          <w:rFonts w:ascii="Garamond" w:eastAsia="Calibri" w:hAnsi="Garamond"/>
          <w:b/>
          <w:szCs w:val="22"/>
          <w:lang w:eastAsia="en-US"/>
        </w:rPr>
        <w:t>sia intervenuta l’erogazione a saldo, dovrà essere indicato solo l’importo concesso</w:t>
      </w:r>
      <w:r>
        <w:rPr>
          <w:rFonts w:ascii="Garamond" w:eastAsia="Calibri" w:hAnsi="Garamond"/>
          <w:szCs w:val="22"/>
          <w:lang w:eastAsia="en-US"/>
        </w:rPr>
        <w:t xml:space="preserve">. </w:t>
      </w:r>
    </w:p>
    <w:p w:rsidR="00DB6BDA" w:rsidRDefault="00B342CB">
      <w:pPr>
        <w:spacing w:before="120" w:after="120" w:line="259" w:lineRule="auto"/>
        <w:jc w:val="both"/>
        <w:rPr>
          <w:rFonts w:ascii="Garamond" w:eastAsia="Calibri" w:hAnsi="Garamond"/>
          <w:i/>
          <w:szCs w:val="22"/>
          <w:lang w:eastAsia="en-US"/>
        </w:rPr>
      </w:pPr>
      <w:r>
        <w:rPr>
          <w:rFonts w:ascii="Garamond" w:eastAsia="Calibri" w:hAnsi="Garamond"/>
          <w:i/>
          <w:szCs w:val="22"/>
          <w:lang w:eastAsia="en-US"/>
        </w:rPr>
        <w:t xml:space="preserve">Periodo di riferimento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Il massimale ammissibile stabilito nell’avviso si riferisce all’</w:t>
      </w:r>
      <w:r>
        <w:rPr>
          <w:rFonts w:ascii="Garamond" w:eastAsia="Calibri" w:hAnsi="Garamond"/>
          <w:b/>
          <w:szCs w:val="22"/>
          <w:lang w:eastAsia="en-US"/>
        </w:rPr>
        <w:t>esercizio finanziario in corso e ai due esercizi precedenti</w:t>
      </w:r>
      <w:r>
        <w:rPr>
          <w:rFonts w:ascii="Garamond" w:eastAsia="Calibri" w:hAnsi="Garamond"/>
          <w:szCs w:val="22"/>
          <w:lang w:eastAsia="en-US"/>
        </w:rPr>
        <w:t>. Per “esercizio finanz</w:t>
      </w:r>
      <w:r>
        <w:rPr>
          <w:rFonts w:ascii="Garamond" w:eastAsia="Calibri" w:hAnsi="Garamond"/>
          <w:szCs w:val="22"/>
          <w:lang w:eastAsia="en-US"/>
        </w:rPr>
        <w:t xml:space="preserve">iario” si intende </w:t>
      </w:r>
      <w:r>
        <w:rPr>
          <w:rFonts w:ascii="Garamond" w:eastAsia="Calibri" w:hAnsi="Garamond"/>
          <w:b/>
          <w:szCs w:val="22"/>
          <w:lang w:eastAsia="en-US"/>
        </w:rPr>
        <w:t>l’anno fiscale</w:t>
      </w:r>
      <w:r>
        <w:rPr>
          <w:rFonts w:ascii="Garamond" w:eastAsia="Calibri" w:hAnsi="Garamond"/>
          <w:szCs w:val="22"/>
          <w:lang w:eastAsia="en-US"/>
        </w:rPr>
        <w:t xml:space="preserve"> dell’impresa. Qualora le imprese facenti parte dell’“impresa unica” abbiano esercizi fiscali non coincidenti, l’esercizio fiscale di riferimento ai fini del calcolo del cumulo è quello dell’impresa richiedente per tutte le </w:t>
      </w:r>
      <w:r>
        <w:rPr>
          <w:rFonts w:ascii="Garamond" w:eastAsia="Calibri" w:hAnsi="Garamond"/>
          <w:szCs w:val="22"/>
          <w:lang w:eastAsia="en-US"/>
        </w:rPr>
        <w:t>imprese facenti parte dell’impresa unica.</w:t>
      </w:r>
    </w:p>
    <w:p w:rsidR="00DB6BDA" w:rsidRDefault="00B342CB">
      <w:pPr>
        <w:spacing w:before="120" w:after="120" w:line="259" w:lineRule="auto"/>
        <w:jc w:val="both"/>
        <w:rPr>
          <w:rFonts w:ascii="Garamond" w:eastAsia="Calibri" w:hAnsi="Garamond"/>
          <w:i/>
          <w:szCs w:val="22"/>
          <w:lang w:eastAsia="en-US"/>
        </w:rPr>
      </w:pPr>
      <w:r>
        <w:rPr>
          <w:rFonts w:ascii="Garamond" w:eastAsia="Calibri" w:hAnsi="Garamond"/>
          <w:i/>
          <w:szCs w:val="22"/>
          <w:lang w:eastAsia="en-US"/>
        </w:rPr>
        <w:t>Il caso specifico delle fusioni, acquisizioni e trasferimenti di rami d’azienda</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Nel caso specifico in cui l’impresa richiedente sia incorsa in vicende di fusioni o acquisizioni (art.3 par. 8 del Reg 1408/2013/UE) t</w:t>
      </w:r>
      <w:r>
        <w:rPr>
          <w:rFonts w:ascii="Garamond" w:eastAsia="Calibri" w:hAnsi="Garamond"/>
          <w:szCs w:val="22"/>
          <w:lang w:eastAsia="en-US"/>
        </w:rPr>
        <w:t>utti gli aiuti “</w:t>
      </w:r>
      <w:r>
        <w:rPr>
          <w:rFonts w:ascii="Garamond" w:eastAsia="Calibri" w:hAnsi="Garamond"/>
          <w:i/>
          <w:szCs w:val="22"/>
          <w:lang w:eastAsia="en-US"/>
        </w:rPr>
        <w:t>de minimis”</w:t>
      </w:r>
      <w:r>
        <w:rPr>
          <w:rFonts w:ascii="Garamond" w:eastAsia="Calibri" w:hAnsi="Garamond"/>
          <w:szCs w:val="22"/>
          <w:lang w:eastAsia="en-US"/>
        </w:rPr>
        <w:t xml:space="preserve"> accordati alle imprese oggetto dell’operazione devono essere sommati.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In questo caso la tabella andrà compilata inserendo anche il “</w:t>
      </w:r>
      <w:r>
        <w:rPr>
          <w:rFonts w:ascii="Garamond" w:eastAsia="Calibri" w:hAnsi="Garamond"/>
          <w:i/>
          <w:szCs w:val="22"/>
          <w:lang w:eastAsia="en-US"/>
        </w:rPr>
        <w:t>de minimis”</w:t>
      </w:r>
      <w:r>
        <w:rPr>
          <w:rFonts w:ascii="Garamond" w:eastAsia="Calibri" w:hAnsi="Garamond"/>
          <w:szCs w:val="22"/>
          <w:lang w:eastAsia="en-US"/>
        </w:rPr>
        <w:t xml:space="preserve"> ottenuto dall’impresa/dalle imprese oggetto acquisizione o fusione.</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noProof/>
          <w:szCs w:val="22"/>
        </w:rPr>
        <mc:AlternateContent>
          <mc:Choice Requires="wps">
            <w:drawing>
              <wp:anchor distT="0" distB="0" distL="114300" distR="114300" simplePos="0" relativeHeight="3" behindDoc="0" locked="0" layoutInCell="1" allowOverlap="1" wp14:anchorId="36D67137">
                <wp:simplePos x="0" y="0"/>
                <wp:positionH relativeFrom="margin">
                  <wp:align>left</wp:align>
                </wp:positionH>
                <wp:positionV relativeFrom="paragraph">
                  <wp:posOffset>6350</wp:posOffset>
                </wp:positionV>
                <wp:extent cx="6146165" cy="1802765"/>
                <wp:effectExtent l="0" t="0" r="28575" b="28575"/>
                <wp:wrapNone/>
                <wp:docPr id="3" name="Rettangolo 12"/>
                <wp:cNvGraphicFramePr/>
                <a:graphic xmlns:a="http://schemas.openxmlformats.org/drawingml/2006/main">
                  <a:graphicData uri="http://schemas.microsoft.com/office/word/2010/wordprocessingShape">
                    <wps:wsp>
                      <wps:cNvSpPr/>
                      <wps:spPr>
                        <a:xfrm>
                          <a:off x="0" y="0"/>
                          <a:ext cx="6145560" cy="1802160"/>
                        </a:xfrm>
                        <a:prstGeom prst="rect">
                          <a:avLst/>
                        </a:prstGeom>
                        <a:solidFill>
                          <a:srgbClr val="F2F2F2"/>
                        </a:solidFill>
                        <a:ln w="12600">
                          <a:solidFill>
                            <a:srgbClr val="A5A5A5"/>
                          </a:solidFill>
                          <a:miter/>
                        </a:ln>
                      </wps:spPr>
                      <wps:style>
                        <a:lnRef idx="0">
                          <a:scrgbClr r="0" g="0" b="0"/>
                        </a:lnRef>
                        <a:fillRef idx="0">
                          <a:scrgbClr r="0" g="0" b="0"/>
                        </a:fillRef>
                        <a:effectRef idx="0">
                          <a:scrgbClr r="0" g="0" b="0"/>
                        </a:effectRef>
                        <a:fontRef idx="minor"/>
                      </wps:style>
                      <wps:txbx>
                        <w:txbxContent>
                          <w:p w:rsidR="00DB6BDA" w:rsidRDefault="00B342CB">
                            <w:pPr>
                              <w:pStyle w:val="Contenutocornice"/>
                              <w:contextualSpacing/>
                              <w:jc w:val="both"/>
                              <w:rPr>
                                <w:rFonts w:ascii="Calibri Light" w:hAnsi="Calibri Light"/>
                              </w:rPr>
                            </w:pPr>
                            <w:r>
                              <w:rPr>
                                <w:rFonts w:ascii="Calibri Light" w:hAnsi="Calibri Light"/>
                                <w:color w:val="000000"/>
                              </w:rPr>
                              <w:t xml:space="preserve">Ad esempio: </w:t>
                            </w:r>
                          </w:p>
                          <w:p w:rsidR="00DB6BDA" w:rsidRDefault="00B342CB">
                            <w:pPr>
                              <w:pStyle w:val="Contenutocornice"/>
                              <w:contextualSpacing/>
                              <w:jc w:val="both"/>
                              <w:rPr>
                                <w:rFonts w:ascii="Calibri Light" w:hAnsi="Calibri Light"/>
                              </w:rPr>
                            </w:pPr>
                            <w:r>
                              <w:rPr>
                                <w:rFonts w:ascii="Calibri Light" w:hAnsi="Calibri Light"/>
                                <w:color w:val="000000"/>
                              </w:rPr>
                              <w:t xml:space="preserve">All’impresa A sono stati concessi 4.000€ in </w:t>
                            </w:r>
                            <w:r>
                              <w:rPr>
                                <w:rFonts w:ascii="Calibri Light" w:hAnsi="Calibri Light"/>
                                <w:color w:val="000000"/>
                                <w:sz w:val="22"/>
                              </w:rPr>
                              <w:t xml:space="preserve">“de minimis” </w:t>
                            </w:r>
                            <w:r>
                              <w:rPr>
                                <w:rFonts w:ascii="Calibri Light" w:hAnsi="Calibri Light"/>
                                <w:color w:val="000000"/>
                              </w:rPr>
                              <w:t xml:space="preserve">nell’anno 2010 </w:t>
                            </w:r>
                          </w:p>
                          <w:p w:rsidR="00DB6BDA" w:rsidRDefault="00B342CB">
                            <w:pPr>
                              <w:pStyle w:val="Contenutocornice"/>
                              <w:contextualSpacing/>
                              <w:jc w:val="both"/>
                              <w:rPr>
                                <w:rFonts w:ascii="Calibri Light" w:hAnsi="Calibri Light"/>
                              </w:rPr>
                            </w:pPr>
                            <w:r>
                              <w:rPr>
                                <w:rFonts w:ascii="Calibri Light" w:hAnsi="Calibri Light"/>
                                <w:color w:val="000000"/>
                              </w:rPr>
                              <w:t xml:space="preserve">All’impresa B sono stati concessi 2.000€ in </w:t>
                            </w:r>
                            <w:r>
                              <w:rPr>
                                <w:rFonts w:ascii="Calibri Light" w:hAnsi="Calibri Light"/>
                                <w:color w:val="000000"/>
                                <w:sz w:val="22"/>
                              </w:rPr>
                              <w:t xml:space="preserve">“de minimis” </w:t>
                            </w:r>
                            <w:r>
                              <w:rPr>
                                <w:rFonts w:ascii="Calibri Light" w:hAnsi="Calibri Light"/>
                                <w:color w:val="000000"/>
                              </w:rPr>
                              <w:t>nell’anno 2010</w:t>
                            </w:r>
                          </w:p>
                          <w:p w:rsidR="00DB6BDA" w:rsidRDefault="00B342CB">
                            <w:pPr>
                              <w:pStyle w:val="Contenutocornice"/>
                              <w:contextualSpacing/>
                              <w:jc w:val="both"/>
                              <w:rPr>
                                <w:rFonts w:ascii="Calibri Light" w:hAnsi="Calibri Light"/>
                              </w:rPr>
                            </w:pPr>
                            <w:r>
                              <w:rPr>
                                <w:rFonts w:ascii="Calibri Light" w:hAnsi="Calibri Light"/>
                                <w:color w:val="000000"/>
                              </w:rPr>
                              <w:t xml:space="preserve">Nell’anno 2011 l’impresa A si fonde con l’impresa B e diventa un nuovo soggetto (A+B) </w:t>
                            </w:r>
                          </w:p>
                          <w:p w:rsidR="00DB6BDA" w:rsidRDefault="00B342CB">
                            <w:pPr>
                              <w:pStyle w:val="Contenutocornice"/>
                              <w:contextualSpacing/>
                              <w:jc w:val="both"/>
                              <w:rPr>
                                <w:rFonts w:ascii="Calibri Light" w:hAnsi="Calibri Light"/>
                              </w:rPr>
                            </w:pPr>
                            <w:r>
                              <w:rPr>
                                <w:rFonts w:ascii="Calibri Light" w:hAnsi="Calibri Light"/>
                                <w:color w:val="000000"/>
                              </w:rPr>
                              <w:t xml:space="preserve">Nell’anno 2011 il soggetto (A+B) vuole fare domanda per un nuovo </w:t>
                            </w:r>
                            <w:r>
                              <w:rPr>
                                <w:rFonts w:ascii="Calibri Light" w:hAnsi="Calibri Light"/>
                                <w:color w:val="000000"/>
                                <w:sz w:val="22"/>
                              </w:rPr>
                              <w:t xml:space="preserve">“de minimis” </w:t>
                            </w:r>
                            <w:r>
                              <w:rPr>
                                <w:rFonts w:ascii="Calibri Light" w:hAnsi="Calibri Light"/>
                                <w:color w:val="000000"/>
                              </w:rPr>
                              <w:t xml:space="preserve">di 7.000€. L’impresa (A+B) dovrà dichiarare gli aiuti ricevuti anche dalle imprese A e B, che ammonteranno ad un totale di 6.000€ </w:t>
                            </w:r>
                          </w:p>
                          <w:p w:rsidR="00DB6BDA" w:rsidRDefault="00B342CB">
                            <w:pPr>
                              <w:pStyle w:val="Contenutocornice"/>
                              <w:contextualSpacing/>
                              <w:jc w:val="both"/>
                            </w:pPr>
                            <w:r>
                              <w:rPr>
                                <w:rFonts w:ascii="Calibri Light" w:hAnsi="Calibri Light"/>
                                <w:color w:val="000000"/>
                              </w:rPr>
                              <w:t>Qualora l’impresa (A+B) voglia ottenere un nuov</w:t>
                            </w:r>
                            <w:r>
                              <w:rPr>
                                <w:rFonts w:ascii="Calibri Light" w:hAnsi="Calibri Light"/>
                                <w:color w:val="000000"/>
                              </w:rPr>
                              <w:t xml:space="preserve">o </w:t>
                            </w:r>
                            <w:r>
                              <w:rPr>
                                <w:rFonts w:ascii="Calibri Light" w:hAnsi="Calibri Light"/>
                                <w:color w:val="000000"/>
                                <w:sz w:val="22"/>
                              </w:rPr>
                              <w:t xml:space="preserve">“de minimis” </w:t>
                            </w:r>
                            <w:r>
                              <w:rPr>
                                <w:rFonts w:ascii="Calibri Light" w:hAnsi="Calibri Light"/>
                                <w:color w:val="000000"/>
                              </w:rPr>
                              <w:t xml:space="preserve">nel 2012, dovrà dichiarare che gli sono stati concessi nell’anno in corso e nei due precedenti aiuti ‘de minimis’ pari a 13.000€ </w:t>
                            </w:r>
                          </w:p>
                        </w:txbxContent>
                      </wps:txbx>
                      <wps:bodyPr anchor="ctr">
                        <a:prstTxWarp prst="textNoShape">
                          <a:avLst/>
                        </a:prstTxWarp>
                        <a:noAutofit/>
                      </wps:bodyPr>
                    </wps:wsp>
                  </a:graphicData>
                </a:graphic>
              </wp:anchor>
            </w:drawing>
          </mc:Choice>
          <mc:Fallback>
            <w:pict>
              <v:rect id="shape_0" ID="Rettangolo 12" fillcolor="#f2f2f2" stroked="t" style="position:absolute;margin-left:9pt;margin-top:0.5pt;width:483.85pt;height:141.85pt;mso-position-horizontal:left;mso-position-horizontal-relative:margin" wp14:anchorId="36D67137">
                <w10:wrap type="square"/>
                <v:fill o:detectmouseclick="t" type="solid" color2="#0d0d0d"/>
                <v:stroke color="#a5a5a5" weight="12600" joinstyle="miter" endcap="flat"/>
                <v:textbox>
                  <w:txbxContent>
                    <w:p>
                      <w:pPr>
                        <w:pStyle w:val="Contenutocornice"/>
                        <w:spacing w:before="0" w:after="0"/>
                        <w:contextualSpacing/>
                        <w:jc w:val="both"/>
                        <w:rPr>
                          <w:rFonts w:ascii="Calibri Light" w:hAnsi="Calibri Light"/>
                        </w:rPr>
                      </w:pPr>
                      <w:r>
                        <w:rPr>
                          <w:rFonts w:ascii="Calibri Light" w:hAnsi="Calibri Light"/>
                          <w:color w:val="000000"/>
                        </w:rPr>
                        <w:t xml:space="preserve">Ad esempio: </w:t>
                      </w:r>
                    </w:p>
                    <w:p>
                      <w:pPr>
                        <w:pStyle w:val="Contenutocornice"/>
                        <w:spacing w:before="0" w:after="0"/>
                        <w:contextualSpacing/>
                        <w:jc w:val="both"/>
                        <w:rPr>
                          <w:rFonts w:ascii="Calibri Light" w:hAnsi="Calibri Light"/>
                        </w:rPr>
                      </w:pPr>
                      <w:r>
                        <w:rPr>
                          <w:rFonts w:ascii="Calibri Light" w:hAnsi="Calibri Light"/>
                          <w:color w:val="000000"/>
                        </w:rPr>
                        <w:t xml:space="preserve">All’impresa A sono stati concessi 4.000€ in </w:t>
                      </w:r>
                      <w:r>
                        <w:rPr>
                          <w:rFonts w:ascii="Calibri Light" w:hAnsi="Calibri Light"/>
                          <w:color w:val="000000"/>
                          <w:sz w:val="22"/>
                        </w:rPr>
                        <w:t xml:space="preserve">“de minimis” </w:t>
                      </w:r>
                      <w:r>
                        <w:rPr>
                          <w:rFonts w:ascii="Calibri Light" w:hAnsi="Calibri Light"/>
                          <w:color w:val="000000"/>
                        </w:rPr>
                        <w:t xml:space="preserve">nell’anno 2010 </w:t>
                      </w:r>
                    </w:p>
                    <w:p>
                      <w:pPr>
                        <w:pStyle w:val="Contenutocornice"/>
                        <w:spacing w:before="0" w:after="0"/>
                        <w:contextualSpacing/>
                        <w:jc w:val="both"/>
                        <w:rPr>
                          <w:rFonts w:ascii="Calibri Light" w:hAnsi="Calibri Light"/>
                        </w:rPr>
                      </w:pPr>
                      <w:r>
                        <w:rPr>
                          <w:rFonts w:ascii="Calibri Light" w:hAnsi="Calibri Light"/>
                          <w:color w:val="000000"/>
                        </w:rPr>
                        <w:t xml:space="preserve">All’impresa B sono stati concessi 2.000€ in </w:t>
                      </w:r>
                      <w:r>
                        <w:rPr>
                          <w:rFonts w:ascii="Calibri Light" w:hAnsi="Calibri Light"/>
                          <w:color w:val="000000"/>
                          <w:sz w:val="22"/>
                        </w:rPr>
                        <w:t xml:space="preserve">“de minimis” </w:t>
                      </w:r>
                      <w:r>
                        <w:rPr>
                          <w:rFonts w:ascii="Calibri Light" w:hAnsi="Calibri Light"/>
                          <w:color w:val="000000"/>
                        </w:rPr>
                        <w:t>nell’anno 2010</w:t>
                      </w:r>
                    </w:p>
                    <w:p>
                      <w:pPr>
                        <w:pStyle w:val="Contenutocornice"/>
                        <w:spacing w:before="0" w:after="0"/>
                        <w:contextualSpacing/>
                        <w:jc w:val="both"/>
                        <w:rPr>
                          <w:rFonts w:ascii="Calibri Light" w:hAnsi="Calibri Light"/>
                        </w:rPr>
                      </w:pPr>
                      <w:r>
                        <w:rPr>
                          <w:rFonts w:ascii="Calibri Light" w:hAnsi="Calibri Light"/>
                          <w:color w:val="000000"/>
                        </w:rPr>
                        <w:t xml:space="preserve">Nell’anno 2011 l’impresa A si fonde con l’impresa B e diventa un nuovo soggetto (A+B) </w:t>
                      </w:r>
                    </w:p>
                    <w:p>
                      <w:pPr>
                        <w:pStyle w:val="Contenutocornice"/>
                        <w:spacing w:before="0" w:after="0"/>
                        <w:contextualSpacing/>
                        <w:jc w:val="both"/>
                        <w:rPr>
                          <w:rFonts w:ascii="Calibri Light" w:hAnsi="Calibri Light"/>
                        </w:rPr>
                      </w:pPr>
                      <w:r>
                        <w:rPr>
                          <w:rFonts w:ascii="Calibri Light" w:hAnsi="Calibri Light"/>
                          <w:color w:val="000000"/>
                        </w:rPr>
                        <w:t xml:space="preserve">Nell’anno 2011 il soggetto (A+B) vuole fare domanda per un nuovo </w:t>
                      </w:r>
                      <w:r>
                        <w:rPr>
                          <w:rFonts w:ascii="Calibri Light" w:hAnsi="Calibri Light"/>
                          <w:color w:val="000000"/>
                          <w:sz w:val="22"/>
                        </w:rPr>
                        <w:t xml:space="preserve">“de minimis” </w:t>
                      </w:r>
                      <w:r>
                        <w:rPr>
                          <w:rFonts w:ascii="Calibri Light" w:hAnsi="Calibri Light"/>
                          <w:color w:val="000000"/>
                        </w:rPr>
                        <w:t xml:space="preserve">di 7.000€. L’impresa (A+B) dovrà dichiarare gli aiuti ricevuti anche dalle imprese A e B, che ammonteranno ad un totale di 6.000€ </w:t>
                      </w:r>
                    </w:p>
                    <w:p>
                      <w:pPr>
                        <w:pStyle w:val="Contenutocornice"/>
                        <w:spacing w:before="0" w:after="0"/>
                        <w:contextualSpacing/>
                        <w:jc w:val="both"/>
                        <w:rPr/>
                      </w:pPr>
                      <w:r>
                        <w:rPr>
                          <w:rFonts w:ascii="Calibri Light" w:hAnsi="Calibri Light"/>
                          <w:color w:val="000000"/>
                        </w:rPr>
                        <w:t xml:space="preserve">Qualora l’impresa (A+B) voglia ottenere un nuovo </w:t>
                      </w:r>
                      <w:r>
                        <w:rPr>
                          <w:rFonts w:ascii="Calibri Light" w:hAnsi="Calibri Light"/>
                          <w:color w:val="000000"/>
                          <w:sz w:val="22"/>
                        </w:rPr>
                        <w:t xml:space="preserve">“de minimis” </w:t>
                      </w:r>
                      <w:r>
                        <w:rPr>
                          <w:rFonts w:ascii="Calibri Light" w:hAnsi="Calibri Light"/>
                          <w:color w:val="000000"/>
                        </w:rPr>
                        <w:t xml:space="preserve">nel 2012, dovrà dichiarare che gli sono stati concessi nell’anno in corso e nei due precedenti aiuti ‘de minimis’ pari a 13.000€ </w:t>
                      </w:r>
                    </w:p>
                  </w:txbxContent>
                </v:textbox>
              </v:rect>
            </w:pict>
          </mc:Fallback>
        </mc:AlternateContent>
      </w: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Nel caso specifico in cui l’impresa richiedente origini da operazioni di </w:t>
      </w:r>
      <w:r>
        <w:rPr>
          <w:rFonts w:ascii="Garamond" w:eastAsia="Calibri" w:hAnsi="Garamond"/>
          <w:b/>
          <w:szCs w:val="22"/>
          <w:lang w:eastAsia="en-US"/>
        </w:rPr>
        <w:t>scissione</w:t>
      </w:r>
      <w:r>
        <w:rPr>
          <w:rFonts w:ascii="Garamond" w:eastAsia="Calibri" w:hAnsi="Garamond"/>
          <w:szCs w:val="22"/>
          <w:lang w:eastAsia="en-US"/>
        </w:rPr>
        <w:t xml:space="preserve"> (art.3(9) del Reg 1408</w:t>
      </w:r>
      <w:r>
        <w:rPr>
          <w:rFonts w:ascii="Garamond" w:eastAsia="Calibri" w:hAnsi="Garamond"/>
          <w:szCs w:val="22"/>
          <w:lang w:eastAsia="en-US"/>
        </w:rPr>
        <w:t>/2013/UE) di un’impresa in due o più imprese distinte, si segnala che l’importo degli aiuti “</w:t>
      </w:r>
      <w:r>
        <w:rPr>
          <w:rFonts w:ascii="Garamond" w:eastAsia="Calibri" w:hAnsi="Garamond"/>
          <w:i/>
          <w:szCs w:val="22"/>
          <w:lang w:eastAsia="en-US"/>
        </w:rPr>
        <w:t>de minimis”</w:t>
      </w:r>
      <w:r>
        <w:rPr>
          <w:rFonts w:ascii="Garamond" w:eastAsia="Calibri" w:hAnsi="Garamond"/>
          <w:szCs w:val="22"/>
          <w:lang w:eastAsia="en-US"/>
        </w:rPr>
        <w:t xml:space="preserve"> ottenuti dall’impresa originaria deve essere </w:t>
      </w:r>
      <w:r>
        <w:rPr>
          <w:rFonts w:ascii="Garamond" w:eastAsia="Calibri" w:hAnsi="Garamond"/>
          <w:b/>
          <w:szCs w:val="22"/>
          <w:lang w:eastAsia="en-US"/>
        </w:rPr>
        <w:t>attribuito</w:t>
      </w:r>
      <w:r>
        <w:rPr>
          <w:rFonts w:ascii="Garamond" w:eastAsia="Calibri" w:hAnsi="Garamond"/>
          <w:szCs w:val="22"/>
          <w:lang w:eastAsia="en-US"/>
        </w:rPr>
        <w:t xml:space="preserve"> all’impresa che acquisirà le attività che </w:t>
      </w:r>
      <w:r>
        <w:rPr>
          <w:rFonts w:ascii="Garamond" w:eastAsia="Calibri" w:hAnsi="Garamond"/>
          <w:szCs w:val="22"/>
          <w:lang w:eastAsia="en-US"/>
        </w:rPr>
        <w:lastRenderedPageBreak/>
        <w:t>hanno beneficiato degli aiuti o, se ciò non è possibi</w:t>
      </w:r>
      <w:r>
        <w:rPr>
          <w:rFonts w:ascii="Garamond" w:eastAsia="Calibri" w:hAnsi="Garamond"/>
          <w:szCs w:val="22"/>
          <w:lang w:eastAsia="en-US"/>
        </w:rPr>
        <w:t xml:space="preserve">le, deve essere suddiviso proporzionalmente al valore delle nuove imprese in termini di capitale investito.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Valutazione caso per caso dovranno essere effettuate per la fattispecie di un trasferimento di un ramo d’azienda che, configurato come operazione </w:t>
      </w:r>
      <w:r>
        <w:rPr>
          <w:rFonts w:ascii="Garamond" w:eastAsia="Calibri" w:hAnsi="Garamond"/>
          <w:szCs w:val="22"/>
          <w:lang w:eastAsia="en-US"/>
        </w:rPr>
        <w:t>di acquisizione, determina il trasferimento del “</w:t>
      </w:r>
      <w:r>
        <w:rPr>
          <w:rFonts w:ascii="Garamond" w:eastAsia="Calibri" w:hAnsi="Garamond"/>
          <w:i/>
          <w:szCs w:val="22"/>
          <w:lang w:eastAsia="en-US"/>
        </w:rPr>
        <w:t>de minimis”</w:t>
      </w:r>
      <w:r>
        <w:rPr>
          <w:rFonts w:ascii="Garamond" w:eastAsia="Calibri" w:hAnsi="Garamond"/>
          <w:szCs w:val="22"/>
          <w:lang w:eastAsia="en-US"/>
        </w:rPr>
        <w:t xml:space="preserve"> in capo all’impresa che ha effettuato l’acquisizione, se l’aiuto “</w:t>
      </w:r>
      <w:r>
        <w:rPr>
          <w:rFonts w:ascii="Garamond" w:eastAsia="Calibri" w:hAnsi="Garamond"/>
          <w:i/>
          <w:szCs w:val="22"/>
          <w:lang w:eastAsia="en-US"/>
        </w:rPr>
        <w:t>de minimis”</w:t>
      </w:r>
      <w:r>
        <w:rPr>
          <w:rFonts w:ascii="Garamond" w:eastAsia="Calibri" w:hAnsi="Garamond"/>
          <w:szCs w:val="22"/>
          <w:lang w:eastAsia="en-US"/>
        </w:rPr>
        <w:t xml:space="preserve"> era imputato al ramo d’azienda trasferito. Viceversa, nel caso in cui un trasferimento di ramo d’azienda si configuri</w:t>
      </w:r>
      <w:r>
        <w:rPr>
          <w:rFonts w:ascii="Garamond" w:eastAsia="Calibri" w:hAnsi="Garamond"/>
          <w:szCs w:val="22"/>
          <w:lang w:eastAsia="en-US"/>
        </w:rPr>
        <w:t xml:space="preserve"> come una operazione di cessione, l’impresa che ha ceduto il ramo può dedurre dall’importo dichiarato l’aiuto “</w:t>
      </w:r>
      <w:r>
        <w:rPr>
          <w:rFonts w:ascii="Garamond" w:eastAsia="Calibri" w:hAnsi="Garamond"/>
          <w:i/>
          <w:szCs w:val="22"/>
          <w:lang w:eastAsia="en-US"/>
        </w:rPr>
        <w:t>de minimis”</w:t>
      </w:r>
      <w:r>
        <w:rPr>
          <w:rFonts w:ascii="Garamond" w:eastAsia="Calibri" w:hAnsi="Garamond"/>
          <w:szCs w:val="22"/>
          <w:lang w:eastAsia="en-US"/>
        </w:rPr>
        <w:t xml:space="preserve"> imputato al ramo ceduto.</w:t>
      </w:r>
    </w:p>
    <w:p w:rsidR="00DB6BDA" w:rsidRDefault="00B342CB">
      <w:pPr>
        <w:spacing w:before="120" w:after="120" w:line="259" w:lineRule="auto"/>
        <w:jc w:val="both"/>
        <w:rPr>
          <w:rFonts w:ascii="Garamond" w:eastAsia="Calibri" w:hAnsi="Garamond"/>
          <w:i/>
          <w:szCs w:val="22"/>
          <w:lang w:eastAsia="en-US"/>
        </w:rPr>
      </w:pPr>
      <w:r>
        <w:rPr>
          <w:rFonts w:ascii="Garamond" w:eastAsia="Calibri" w:hAnsi="Garamond"/>
          <w:i/>
          <w:szCs w:val="22"/>
          <w:lang w:eastAsia="en-US"/>
        </w:rPr>
        <w:t>La seguente parte di istruzioni per la compilazione fornisce indicazioni utili per fornire istruzioni ai par</w:t>
      </w:r>
      <w:r>
        <w:rPr>
          <w:rFonts w:ascii="Garamond" w:eastAsia="Calibri" w:hAnsi="Garamond"/>
          <w:i/>
          <w:szCs w:val="22"/>
          <w:lang w:eastAsia="en-US"/>
        </w:rPr>
        <w:t>tecipanti relativamente alle seguenti sezioni (C, D ed E) nel modulo. (FACOLTATIVE a discrezione dell’amministrazione concedente).</w:t>
      </w:r>
    </w:p>
    <w:p w:rsidR="00DB6BDA" w:rsidRDefault="00B342CB">
      <w:pPr>
        <w:shd w:val="clear" w:color="auto" w:fill="D9D9D9"/>
        <w:spacing w:before="120" w:after="120" w:line="259" w:lineRule="auto"/>
        <w:jc w:val="both"/>
        <w:rPr>
          <w:rFonts w:ascii="Garamond" w:eastAsia="Calibri" w:hAnsi="Garamond"/>
          <w:b/>
          <w:smallCaps/>
          <w:szCs w:val="22"/>
          <w:lang w:eastAsia="en-US"/>
        </w:rPr>
      </w:pPr>
      <w:r>
        <w:rPr>
          <w:rFonts w:ascii="Garamond" w:eastAsia="Calibri" w:hAnsi="Garamond"/>
          <w:b/>
          <w:smallCaps/>
          <w:szCs w:val="22"/>
          <w:lang w:eastAsia="en-US"/>
        </w:rPr>
        <w:t xml:space="preserve">Sezione C: Campo di applicazione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Se un’impresa opera sia in settori ammissibili dall’avviso/bando, sia in settori esclusi, d</w:t>
      </w:r>
      <w:r>
        <w:rPr>
          <w:rFonts w:ascii="Garamond" w:eastAsia="Calibri" w:hAnsi="Garamond"/>
          <w:szCs w:val="22"/>
          <w:lang w:eastAsia="en-US"/>
        </w:rPr>
        <w:t>eve essere garantito, tramite la separazione delle attività o la distinzione dei costi, che le attività esercitate nei settori esclusi non beneficino degli aiuti “</w:t>
      </w:r>
      <w:r>
        <w:rPr>
          <w:rFonts w:ascii="Garamond" w:eastAsia="Calibri" w:hAnsi="Garamond"/>
          <w:i/>
          <w:szCs w:val="22"/>
          <w:lang w:eastAsia="en-US"/>
        </w:rPr>
        <w:t>de minimis”</w:t>
      </w:r>
      <w:r>
        <w:rPr>
          <w:rFonts w:ascii="Garamond" w:eastAsia="Calibri" w:hAnsi="Garamond"/>
          <w:szCs w:val="22"/>
          <w:lang w:eastAsia="en-US"/>
        </w:rPr>
        <w:t xml:space="preserv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Il regolamento 1408/2013/UE (articolo 1, par.1), si applica agli aiuti concessi</w:t>
      </w:r>
      <w:r>
        <w:rPr>
          <w:rFonts w:ascii="Garamond" w:eastAsia="Calibri" w:hAnsi="Garamond"/>
          <w:szCs w:val="22"/>
          <w:lang w:eastAsia="en-US"/>
        </w:rPr>
        <w:t xml:space="preserve"> alle imprese che</w:t>
      </w:r>
    </w:p>
    <w:p w:rsidR="00DB6BDA" w:rsidRDefault="00B342CB">
      <w:pPr>
        <w:numPr>
          <w:ilvl w:val="0"/>
          <w:numId w:val="2"/>
        </w:numPr>
        <w:spacing w:before="120" w:after="120" w:line="259" w:lineRule="auto"/>
        <w:ind w:left="426"/>
        <w:contextualSpacing/>
        <w:jc w:val="both"/>
        <w:rPr>
          <w:rFonts w:ascii="Garamond" w:eastAsia="Calibri" w:hAnsi="Garamond"/>
          <w:szCs w:val="22"/>
          <w:lang w:eastAsia="en-US"/>
        </w:rPr>
      </w:pPr>
      <w:r>
        <w:rPr>
          <w:rFonts w:ascii="Garamond" w:eastAsia="Calibri" w:hAnsi="Garamond"/>
          <w:szCs w:val="22"/>
          <w:lang w:eastAsia="en-US"/>
        </w:rPr>
        <w:t>operano nel settore della produzione primaria di prodotti agricoli, ad eccezione dei seguenti aiuti: aiuti il cui importo è fissato in base al prezzo o al quantitativo dei prodotti commercializzati;</w:t>
      </w:r>
    </w:p>
    <w:p w:rsidR="00DB6BDA" w:rsidRDefault="00B342CB">
      <w:pPr>
        <w:numPr>
          <w:ilvl w:val="0"/>
          <w:numId w:val="2"/>
        </w:numPr>
        <w:spacing w:before="120" w:after="120" w:line="259" w:lineRule="auto"/>
        <w:ind w:left="426"/>
        <w:contextualSpacing/>
        <w:jc w:val="both"/>
        <w:rPr>
          <w:rFonts w:ascii="Garamond" w:eastAsia="Calibri" w:hAnsi="Garamond"/>
          <w:szCs w:val="22"/>
          <w:lang w:eastAsia="en-US"/>
        </w:rPr>
      </w:pPr>
      <w:r>
        <w:rPr>
          <w:rFonts w:ascii="Garamond" w:eastAsia="Calibri" w:hAnsi="Garamond"/>
          <w:szCs w:val="22"/>
          <w:lang w:eastAsia="en-US"/>
        </w:rPr>
        <w:t>aiuti per attività connesse all’esporta</w:t>
      </w:r>
      <w:r>
        <w:rPr>
          <w:rFonts w:ascii="Garamond" w:eastAsia="Calibri" w:hAnsi="Garamond"/>
          <w:szCs w:val="22"/>
          <w:lang w:eastAsia="en-US"/>
        </w:rPr>
        <w:t xml:space="preserve">zione verso paesi terzi o Stati membri, cioè aiuti direttamente collegati ai quantitativi esportati, alla costituzione e gestione di una rete di distribuzione o ad altre spese correnti connesse con l’attività d’esportazione; </w:t>
      </w:r>
    </w:p>
    <w:p w:rsidR="00DB6BDA" w:rsidRDefault="00B342CB">
      <w:pPr>
        <w:numPr>
          <w:ilvl w:val="0"/>
          <w:numId w:val="2"/>
        </w:numPr>
        <w:spacing w:before="120" w:after="120" w:line="259" w:lineRule="auto"/>
        <w:ind w:left="426"/>
        <w:contextualSpacing/>
        <w:jc w:val="both"/>
        <w:rPr>
          <w:rFonts w:ascii="Garamond" w:eastAsia="Calibri" w:hAnsi="Garamond"/>
          <w:szCs w:val="22"/>
          <w:lang w:eastAsia="en-US"/>
        </w:rPr>
      </w:pPr>
      <w:r>
        <w:rPr>
          <w:rFonts w:ascii="Garamond" w:eastAsia="Calibri" w:hAnsi="Garamond"/>
          <w:szCs w:val="22"/>
          <w:lang w:eastAsia="en-US"/>
        </w:rPr>
        <w:t xml:space="preserve">aiuti subordinati all’impiego </w:t>
      </w:r>
      <w:r>
        <w:rPr>
          <w:rFonts w:ascii="Garamond" w:eastAsia="Calibri" w:hAnsi="Garamond"/>
          <w:szCs w:val="22"/>
          <w:lang w:eastAsia="en-US"/>
        </w:rPr>
        <w:t xml:space="preserve">di prodotti nazionali rispetto a quelli d’importazione.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Se un’impresa operante nel settore della produzione primaria di prodotti agricoli opera anche in uno o più dei settori o svolge anche altre attività che rientrano nel campo di applicazione del regola</w:t>
      </w:r>
      <w:r>
        <w:rPr>
          <w:rFonts w:ascii="Garamond" w:eastAsia="Calibri" w:hAnsi="Garamond"/>
          <w:szCs w:val="22"/>
          <w:lang w:eastAsia="en-US"/>
        </w:rPr>
        <w:t>mento (UE) n. 1407/2013, agli aiuti concessi in relazione a questi ultimi settori e attività si applica il suddetto regolamento, a condizione che lo Stato membro interessato garantisca, con mezzi adeguati quali la separazione delle attività o la distinzion</w:t>
      </w:r>
      <w:r>
        <w:rPr>
          <w:rFonts w:ascii="Garamond" w:eastAsia="Calibri" w:hAnsi="Garamond"/>
          <w:szCs w:val="22"/>
          <w:lang w:eastAsia="en-US"/>
        </w:rPr>
        <w:t>e dei costi, che la produzione primaria di prodotti agricoli non beneficia di aiuti “</w:t>
      </w:r>
      <w:r>
        <w:rPr>
          <w:rFonts w:ascii="Garamond" w:eastAsia="Calibri" w:hAnsi="Garamond"/>
          <w:i/>
          <w:szCs w:val="22"/>
          <w:lang w:eastAsia="en-US"/>
        </w:rPr>
        <w:t>de minimis”</w:t>
      </w:r>
      <w:r>
        <w:rPr>
          <w:rFonts w:ascii="Garamond" w:eastAsia="Calibri" w:hAnsi="Garamond"/>
          <w:szCs w:val="22"/>
          <w:lang w:eastAsia="en-US"/>
        </w:rPr>
        <w:t xml:space="preserve"> concessi a norma dello stesso regolamento.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Se un’impresa operante nel settore della produzione primaria di prodotti agricoli opera anche nel settore della pes</w:t>
      </w:r>
      <w:r>
        <w:rPr>
          <w:rFonts w:ascii="Garamond" w:eastAsia="Calibri" w:hAnsi="Garamond"/>
          <w:szCs w:val="22"/>
          <w:lang w:eastAsia="en-US"/>
        </w:rPr>
        <w:t>ca e dell’acquacoltura, agli aiuti concessi in relazione a quest’ultimo settore si applicano le disposizioni del regolamento (UE) n. 717/2013, a condizione che lo Stato membro interessato garantisca, con mezzi adeguati quali la separazione delle attività o</w:t>
      </w:r>
      <w:r>
        <w:rPr>
          <w:rFonts w:ascii="Garamond" w:eastAsia="Calibri" w:hAnsi="Garamond"/>
          <w:szCs w:val="22"/>
          <w:lang w:eastAsia="en-US"/>
        </w:rPr>
        <w:t xml:space="preserve"> la distinzione dei costi, che la produzione primaria di prodotti agricoli non beneficia di aiuti “</w:t>
      </w:r>
      <w:r>
        <w:rPr>
          <w:rFonts w:ascii="Garamond" w:eastAsia="Calibri" w:hAnsi="Garamond"/>
          <w:i/>
          <w:szCs w:val="22"/>
          <w:lang w:eastAsia="en-US"/>
        </w:rPr>
        <w:t>de minimis”</w:t>
      </w:r>
      <w:r>
        <w:rPr>
          <w:rFonts w:ascii="Garamond" w:eastAsia="Calibri" w:hAnsi="Garamond"/>
          <w:szCs w:val="22"/>
          <w:lang w:eastAsia="en-US"/>
        </w:rPr>
        <w:t xml:space="preserve"> concessi in conformità dello stesso regolamento.</w:t>
      </w:r>
    </w:p>
    <w:p w:rsidR="00DB6BDA" w:rsidRDefault="00B342CB">
      <w:pPr>
        <w:shd w:val="clear" w:color="auto" w:fill="D9D9D9"/>
        <w:spacing w:before="120" w:after="120" w:line="259" w:lineRule="auto"/>
        <w:jc w:val="both"/>
        <w:rPr>
          <w:rFonts w:ascii="Garamond" w:eastAsia="Calibri" w:hAnsi="Garamond"/>
          <w:b/>
          <w:smallCaps/>
          <w:szCs w:val="22"/>
          <w:lang w:eastAsia="en-US"/>
        </w:rPr>
      </w:pPr>
      <w:r>
        <w:rPr>
          <w:rFonts w:ascii="Garamond" w:eastAsia="Calibri" w:hAnsi="Garamond"/>
          <w:b/>
          <w:smallCaps/>
          <w:szCs w:val="22"/>
          <w:lang w:eastAsia="en-US"/>
        </w:rPr>
        <w:t xml:space="preserve">Sezione D: Condizioni per il cumulo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b/>
          <w:szCs w:val="22"/>
          <w:lang w:eastAsia="en-US"/>
        </w:rPr>
        <w:t>Se l’Avviso/Bando consente il cumulo degli aiuti “</w:t>
      </w:r>
      <w:r>
        <w:rPr>
          <w:rFonts w:ascii="Garamond" w:eastAsia="Calibri" w:hAnsi="Garamond"/>
          <w:b/>
          <w:i/>
          <w:szCs w:val="22"/>
          <w:lang w:eastAsia="en-US"/>
        </w:rPr>
        <w:t>de minimi</w:t>
      </w:r>
      <w:r>
        <w:rPr>
          <w:rFonts w:ascii="Garamond" w:eastAsia="Calibri" w:hAnsi="Garamond"/>
          <w:b/>
          <w:i/>
          <w:szCs w:val="22"/>
          <w:lang w:eastAsia="en-US"/>
        </w:rPr>
        <w:t>s”</w:t>
      </w:r>
      <w:r>
        <w:rPr>
          <w:rFonts w:ascii="Garamond" w:eastAsia="Calibri" w:hAnsi="Garamond"/>
          <w:b/>
          <w:szCs w:val="22"/>
          <w:lang w:eastAsia="en-US"/>
        </w:rPr>
        <w:t xml:space="preserve"> con altri aiuti di Stato</w:t>
      </w:r>
      <w:r>
        <w:rPr>
          <w:rFonts w:ascii="Garamond" w:eastAsia="Calibri" w:hAnsi="Garamond"/>
          <w:szCs w:val="22"/>
          <w:lang w:eastAsia="en-US"/>
        </w:rPr>
        <w:t xml:space="preserve"> e gli aiuti “</w:t>
      </w:r>
      <w:r>
        <w:rPr>
          <w:rFonts w:ascii="Garamond" w:eastAsia="Calibri" w:hAnsi="Garamond"/>
          <w:i/>
          <w:szCs w:val="22"/>
          <w:lang w:eastAsia="en-US"/>
        </w:rPr>
        <w:t>de minimis”</w:t>
      </w:r>
      <w:r>
        <w:rPr>
          <w:rFonts w:ascii="Garamond" w:eastAsia="Calibri" w:hAnsi="Garamond"/>
          <w:szCs w:val="22"/>
          <w:lang w:eastAsia="en-US"/>
        </w:rPr>
        <w:t xml:space="preserve"> sono concessi per </w:t>
      </w:r>
      <w:r>
        <w:rPr>
          <w:rFonts w:ascii="Garamond" w:eastAsia="Calibri" w:hAnsi="Garamond"/>
          <w:b/>
          <w:szCs w:val="22"/>
          <w:lang w:eastAsia="en-US"/>
        </w:rPr>
        <w:t>specifici costi ammissibili, questi</w:t>
      </w:r>
      <w:r>
        <w:rPr>
          <w:rFonts w:ascii="Garamond" w:eastAsia="Calibri" w:hAnsi="Garamond"/>
          <w:szCs w:val="22"/>
          <w:lang w:eastAsia="en-US"/>
        </w:rPr>
        <w:t xml:space="preserve"> possono essere cumulati: </w:t>
      </w:r>
    </w:p>
    <w:p w:rsidR="00DB6BDA" w:rsidRDefault="00B342CB">
      <w:pPr>
        <w:numPr>
          <w:ilvl w:val="0"/>
          <w:numId w:val="3"/>
        </w:numPr>
        <w:spacing w:before="120" w:after="120" w:line="259" w:lineRule="auto"/>
        <w:ind w:left="426"/>
        <w:contextualSpacing/>
        <w:jc w:val="both"/>
        <w:rPr>
          <w:rFonts w:ascii="Garamond" w:eastAsia="Calibri" w:hAnsi="Garamond"/>
          <w:szCs w:val="22"/>
          <w:lang w:eastAsia="en-US"/>
        </w:rPr>
      </w:pPr>
      <w:r>
        <w:rPr>
          <w:rFonts w:ascii="Garamond" w:eastAsia="Calibri" w:hAnsi="Garamond"/>
          <w:szCs w:val="22"/>
          <w:lang w:eastAsia="en-US"/>
        </w:rPr>
        <w:t xml:space="preserve">con aiuti di Stato concessi per gli stessi costi ammissibili </w:t>
      </w:r>
      <w:r>
        <w:rPr>
          <w:rFonts w:ascii="Garamond" w:eastAsia="Calibri" w:hAnsi="Garamond"/>
          <w:b/>
          <w:szCs w:val="22"/>
          <w:lang w:eastAsia="en-US"/>
        </w:rPr>
        <w:t xml:space="preserve">se tale cumulo non comporta il superamento dell’intensità di </w:t>
      </w:r>
      <w:r>
        <w:rPr>
          <w:rFonts w:ascii="Garamond" w:eastAsia="Calibri" w:hAnsi="Garamond"/>
          <w:b/>
          <w:szCs w:val="22"/>
          <w:lang w:eastAsia="en-US"/>
        </w:rPr>
        <w:t>aiuto</w:t>
      </w:r>
      <w:r>
        <w:rPr>
          <w:rFonts w:ascii="Garamond" w:eastAsia="Calibri" w:hAnsi="Garamond"/>
          <w:szCs w:val="22"/>
          <w:lang w:eastAsia="en-US"/>
        </w:rPr>
        <w:t xml:space="preserve"> o dell’importo di aiuto più elevati fissati, per le specifiche circostanze di ogni caso, in un regolamento d’esenzione per categoria o in una decisione adottata dalla Commissione; </w:t>
      </w:r>
    </w:p>
    <w:p w:rsidR="00DB6BDA" w:rsidRDefault="00B342CB">
      <w:pPr>
        <w:numPr>
          <w:ilvl w:val="0"/>
          <w:numId w:val="3"/>
        </w:numPr>
        <w:spacing w:before="120" w:after="120" w:line="259" w:lineRule="auto"/>
        <w:ind w:left="426"/>
        <w:contextualSpacing/>
        <w:jc w:val="both"/>
        <w:rPr>
          <w:rFonts w:ascii="Garamond" w:eastAsia="Calibri" w:hAnsi="Garamond"/>
          <w:szCs w:val="22"/>
          <w:lang w:eastAsia="en-US"/>
        </w:rPr>
      </w:pPr>
      <w:r>
        <w:rPr>
          <w:rFonts w:ascii="Garamond" w:eastAsia="Calibri" w:hAnsi="Garamond"/>
          <w:szCs w:val="22"/>
          <w:lang w:eastAsia="en-US"/>
        </w:rPr>
        <w:lastRenderedPageBreak/>
        <w:t>con aiuti di Stato concessi per costi ammissibili diversi da quelli f</w:t>
      </w:r>
      <w:r>
        <w:rPr>
          <w:rFonts w:ascii="Garamond" w:eastAsia="Calibri" w:hAnsi="Garamond"/>
          <w:szCs w:val="22"/>
          <w:lang w:eastAsia="en-US"/>
        </w:rPr>
        <w:t>inanziati in “</w:t>
      </w:r>
      <w:r>
        <w:rPr>
          <w:rFonts w:ascii="Garamond" w:eastAsia="Calibri" w:hAnsi="Garamond"/>
          <w:i/>
          <w:szCs w:val="22"/>
          <w:lang w:eastAsia="en-US"/>
        </w:rPr>
        <w:t>de minimis”</w:t>
      </w:r>
      <w:r>
        <w:rPr>
          <w:rFonts w:ascii="Garamond" w:eastAsia="Calibri" w:hAnsi="Garamond"/>
          <w:szCs w:val="22"/>
          <w:lang w:eastAsia="en-US"/>
        </w:rPr>
        <w:t xml:space="preserve">.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Per questo motivo </w:t>
      </w:r>
      <w:r>
        <w:rPr>
          <w:rFonts w:ascii="Garamond" w:eastAsia="Calibri" w:hAnsi="Garamond"/>
          <w:b/>
          <w:szCs w:val="22"/>
          <w:lang w:eastAsia="en-US"/>
        </w:rPr>
        <w:t>l’impresa dovrà indicare se</w:t>
      </w:r>
      <w:r>
        <w:rPr>
          <w:rFonts w:ascii="Garamond" w:eastAsia="Calibri" w:hAnsi="Garamond"/>
          <w:szCs w:val="22"/>
          <w:lang w:eastAsia="en-US"/>
        </w:rPr>
        <w:t xml:space="preserve"> ed </w:t>
      </w:r>
      <w:r>
        <w:rPr>
          <w:rFonts w:ascii="Garamond" w:eastAsia="Calibri" w:hAnsi="Garamond"/>
          <w:b/>
          <w:szCs w:val="22"/>
          <w:lang w:eastAsia="en-US"/>
        </w:rPr>
        <w:t>eventualmente quali aiuti ha già ricevuto sugli stessi costi ammissibili</w:t>
      </w:r>
      <w:r>
        <w:rPr>
          <w:rFonts w:ascii="Garamond" w:eastAsia="Calibri" w:hAnsi="Garamond"/>
          <w:szCs w:val="22"/>
          <w:lang w:eastAsia="en-US"/>
        </w:rPr>
        <w:t xml:space="preserve">, a norma di un regolamento di esenzione o di una decisione della Commissione europea, affinché non si </w:t>
      </w:r>
      <w:r>
        <w:rPr>
          <w:rFonts w:ascii="Garamond" w:eastAsia="Calibri" w:hAnsi="Garamond"/>
          <w:szCs w:val="22"/>
          <w:lang w:eastAsia="en-US"/>
        </w:rPr>
        <w:t>verifichino superamenti delle relative intensità. Nella tabella dovrà pertanto essere indicata l’intensità relativa al progetto e l’importo imputato alla voce di costo o all’intero progetto in valore assoluto.</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noProof/>
          <w:szCs w:val="22"/>
        </w:rPr>
        <mc:AlternateContent>
          <mc:Choice Requires="wps">
            <w:drawing>
              <wp:anchor distT="0" distB="0" distL="114300" distR="114300" simplePos="0" relativeHeight="4" behindDoc="0" locked="0" layoutInCell="1" allowOverlap="1" wp14:anchorId="42619A15">
                <wp:simplePos x="0" y="0"/>
                <wp:positionH relativeFrom="margin">
                  <wp:posOffset>19050</wp:posOffset>
                </wp:positionH>
                <wp:positionV relativeFrom="paragraph">
                  <wp:posOffset>10795</wp:posOffset>
                </wp:positionV>
                <wp:extent cx="6146165" cy="1612265"/>
                <wp:effectExtent l="0" t="0" r="28575" b="28575"/>
                <wp:wrapNone/>
                <wp:docPr id="5" name="Rettangolo 11"/>
                <wp:cNvGraphicFramePr/>
                <a:graphic xmlns:a="http://schemas.openxmlformats.org/drawingml/2006/main">
                  <a:graphicData uri="http://schemas.microsoft.com/office/word/2010/wordprocessingShape">
                    <wps:wsp>
                      <wps:cNvSpPr/>
                      <wps:spPr>
                        <a:xfrm>
                          <a:off x="0" y="0"/>
                          <a:ext cx="6145560" cy="1611720"/>
                        </a:xfrm>
                        <a:prstGeom prst="rect">
                          <a:avLst/>
                        </a:prstGeom>
                        <a:solidFill>
                          <a:srgbClr val="F2F2F2"/>
                        </a:solidFill>
                        <a:ln w="12600">
                          <a:solidFill>
                            <a:srgbClr val="A5A5A5"/>
                          </a:solidFill>
                          <a:miter/>
                        </a:ln>
                      </wps:spPr>
                      <wps:style>
                        <a:lnRef idx="0">
                          <a:scrgbClr r="0" g="0" b="0"/>
                        </a:lnRef>
                        <a:fillRef idx="0">
                          <a:scrgbClr r="0" g="0" b="0"/>
                        </a:fillRef>
                        <a:effectRef idx="0">
                          <a:scrgbClr r="0" g="0" b="0"/>
                        </a:effectRef>
                        <a:fontRef idx="minor"/>
                      </wps:style>
                      <wps:txbx>
                        <w:txbxContent>
                          <w:p w:rsidR="00DB6BDA" w:rsidRDefault="00B342CB">
                            <w:pPr>
                              <w:pStyle w:val="Contenutocornice"/>
                              <w:contextualSpacing/>
                              <w:jc w:val="both"/>
                            </w:pPr>
                            <w:r>
                              <w:rPr>
                                <w:rFonts w:ascii="Calibri Light" w:hAnsi="Calibri Light"/>
                                <w:color w:val="000000"/>
                              </w:rPr>
                              <w:t>Esempio: un’impresa operante nel settore de</w:t>
                            </w:r>
                            <w:r>
                              <w:rPr>
                                <w:rFonts w:ascii="Calibri Light" w:hAnsi="Calibri Light"/>
                                <w:color w:val="000000"/>
                              </w:rPr>
                              <w:t>lla produzione primaria ha ricevuto un finanziamento in esenzione per investimenti ai sensi del regolamento (UE) 702/2014 art. 14. L’intensità massima, ovvero la percentuale di sostegno, per quel finanziamento viene stabilita dal bando nel 40%. Si presenta</w:t>
                            </w:r>
                            <w:r>
                              <w:rPr>
                                <w:rFonts w:ascii="Calibri Light" w:hAnsi="Calibri Light"/>
                                <w:color w:val="000000"/>
                              </w:rPr>
                              <w:t xml:space="preserve"> il caso in cui il valore dell’investimento è pari a 20.000€ e il valore della concessione è pari al 8.000€) però gli viene erogato solo il 50% (4000 €) Nella tabella l’impresa dovrà dichiarare questi ultimi due importi (ovvero concessione 8000 € e erogazi</w:t>
                            </w:r>
                            <w:r>
                              <w:rPr>
                                <w:rFonts w:ascii="Calibri Light" w:hAnsi="Calibri Light"/>
                                <w:color w:val="000000"/>
                              </w:rPr>
                              <w:t>one 4000 €). Per la stessa voce di costo l’impresa potrà ottenere un finanziamento in “de minimis” pari ad altri 4000€.</w:t>
                            </w:r>
                          </w:p>
                        </w:txbxContent>
                      </wps:txbx>
                      <wps:bodyPr anchor="ctr">
                        <a:prstTxWarp prst="textNoShape">
                          <a:avLst/>
                        </a:prstTxWarp>
                        <a:noAutofit/>
                      </wps:bodyPr>
                    </wps:wsp>
                  </a:graphicData>
                </a:graphic>
              </wp:anchor>
            </w:drawing>
          </mc:Choice>
          <mc:Fallback>
            <w:pict>
              <v:rect id="shape_0" ID="Rettangolo 11" fillcolor="#f2f2f2" stroked="t" style="position:absolute;margin-left:1.5pt;margin-top:0.85pt;width:483.85pt;height:126.85pt;mso-position-horizontal-relative:margin" wp14:anchorId="42619A15">
                <w10:wrap type="square"/>
                <v:fill o:detectmouseclick="t" type="solid" color2="#0d0d0d"/>
                <v:stroke color="#a5a5a5" weight="12600" joinstyle="miter" endcap="flat"/>
                <v:textbox>
                  <w:txbxContent>
                    <w:p>
                      <w:pPr>
                        <w:pStyle w:val="Contenutocornice"/>
                        <w:spacing w:before="0" w:after="0"/>
                        <w:contextualSpacing/>
                        <w:jc w:val="both"/>
                        <w:rPr/>
                      </w:pPr>
                      <w:r>
                        <w:rPr>
                          <w:rFonts w:ascii="Calibri Light" w:hAnsi="Calibri Light"/>
                          <w:color w:val="000000"/>
                        </w:rPr>
                        <w:t>Esempio: un’impresa operante nel settore della produzione primaria ha ricevuto un finanziamento in esenzione per investimenti ai sensi del regolamento (UE) 702/2014 art. 14. L’intensità massima, ovvero la percentuale di sostegno, per quel finanziamento viene stabilita dal bando nel 40%. Si presenta il caso in cui il valore dell’investimento è pari a 20.000€ e il valore della concessione è pari al 8.000€) però gli viene erogato solo il 50% (4000 €) Nella tabella l’impresa dovrà dichiarare questi ultimi due importi (ovvero concessione 8000 € e erogazione 4000 €). Per la stessa voce di costo l’impresa potrà ottenere un finanziamento in “de minimis” pari ad altri 4000€.</w:t>
                      </w:r>
                    </w:p>
                  </w:txbxContent>
                </v:textbox>
              </v:rect>
            </w:pict>
          </mc:Fallback>
        </mc:AlternateContent>
      </w: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szCs w:val="22"/>
          <w:lang w:eastAsia="en-US"/>
        </w:rPr>
      </w:pPr>
    </w:p>
    <w:p w:rsidR="00DB6BDA" w:rsidRDefault="00DB6BDA">
      <w:pPr>
        <w:spacing w:before="120" w:after="120" w:line="259" w:lineRule="auto"/>
        <w:jc w:val="both"/>
        <w:rPr>
          <w:rFonts w:ascii="Garamond" w:eastAsia="Calibri" w:hAnsi="Garamond"/>
          <w:b/>
          <w:smallCaps/>
          <w:szCs w:val="22"/>
          <w:lang w:eastAsia="en-US"/>
        </w:rPr>
      </w:pPr>
    </w:p>
    <w:p w:rsidR="00DB6BDA" w:rsidRDefault="00B342CB">
      <w:pPr>
        <w:shd w:val="clear" w:color="auto" w:fill="D9D9D9"/>
        <w:spacing w:before="120" w:after="120" w:line="259" w:lineRule="auto"/>
        <w:jc w:val="both"/>
        <w:rPr>
          <w:rFonts w:ascii="Garamond" w:eastAsia="Calibri" w:hAnsi="Garamond"/>
          <w:b/>
          <w:smallCaps/>
          <w:szCs w:val="22"/>
          <w:lang w:eastAsia="en-US"/>
        </w:rPr>
      </w:pPr>
      <w:r>
        <w:rPr>
          <w:rFonts w:ascii="Garamond" w:eastAsia="Calibri" w:hAnsi="Garamond"/>
          <w:b/>
          <w:smallCaps/>
          <w:szCs w:val="22"/>
          <w:lang w:eastAsia="en-US"/>
        </w:rPr>
        <w:t>Sezione E: Condizioni per aiuti sotto forma di «prestiti» e «garanzie»</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La sezione E deve essere compilata soltanto nel caso in cu</w:t>
      </w:r>
      <w:r>
        <w:rPr>
          <w:rFonts w:ascii="Garamond" w:eastAsia="Calibri" w:hAnsi="Garamond"/>
          <w:szCs w:val="22"/>
          <w:lang w:eastAsia="en-US"/>
        </w:rPr>
        <w:t>i l’aiuto “</w:t>
      </w:r>
      <w:r>
        <w:rPr>
          <w:rFonts w:ascii="Garamond" w:eastAsia="Calibri" w:hAnsi="Garamond"/>
          <w:i/>
          <w:szCs w:val="22"/>
          <w:lang w:eastAsia="en-US"/>
        </w:rPr>
        <w:t>de minimis</w:t>
      </w:r>
      <w:r>
        <w:rPr>
          <w:rFonts w:ascii="Garamond" w:eastAsia="Calibri" w:hAnsi="Garamond"/>
          <w:szCs w:val="22"/>
          <w:lang w:eastAsia="en-US"/>
        </w:rPr>
        <w:t xml:space="preserve">” sia concesso, sulla base di quanto previsto dal Bando/Avviso, sotto forma di “prestiti” o “garanzia”.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Qualora l’aiuto “</w:t>
      </w:r>
      <w:r>
        <w:rPr>
          <w:rFonts w:ascii="Garamond" w:eastAsia="Calibri" w:hAnsi="Garamond"/>
          <w:i/>
          <w:szCs w:val="22"/>
          <w:lang w:eastAsia="en-US"/>
        </w:rPr>
        <w:t>de minimis</w:t>
      </w:r>
      <w:r>
        <w:rPr>
          <w:rFonts w:ascii="Garamond" w:eastAsia="Calibri" w:hAnsi="Garamond"/>
          <w:szCs w:val="22"/>
          <w:lang w:eastAsia="en-US"/>
        </w:rPr>
        <w:t xml:space="preserve">” possa essere concesso </w:t>
      </w:r>
      <w:r>
        <w:rPr>
          <w:rFonts w:ascii="Garamond" w:eastAsia="Calibri" w:hAnsi="Garamond"/>
          <w:b/>
          <w:szCs w:val="22"/>
          <w:lang w:eastAsia="en-US"/>
        </w:rPr>
        <w:t>sotto forma di prestito o garanzia</w:t>
      </w:r>
      <w:r>
        <w:rPr>
          <w:rFonts w:ascii="Garamond" w:eastAsia="Calibri" w:hAnsi="Garamond"/>
          <w:szCs w:val="22"/>
          <w:lang w:eastAsia="en-US"/>
        </w:rPr>
        <w:t>, il beneficiario dovrà dichiarare di non ess</w:t>
      </w:r>
      <w:r>
        <w:rPr>
          <w:rFonts w:ascii="Garamond" w:eastAsia="Calibri" w:hAnsi="Garamond"/>
          <w:szCs w:val="22"/>
          <w:lang w:eastAsia="en-US"/>
        </w:rPr>
        <w:t>ere oggetto di procedura concorsuale per insolvenza o di non soddisfare le condizioni previste dalla vigente normativa italiana per l’apertura nei suoi confronti di una tale procedura su richiesta dei suoi creditori. Nel caso in cui il beneficiario sia una</w:t>
      </w:r>
      <w:r>
        <w:rPr>
          <w:rFonts w:ascii="Garamond" w:eastAsia="Calibri" w:hAnsi="Garamond"/>
          <w:szCs w:val="22"/>
          <w:lang w:eastAsia="en-US"/>
        </w:rPr>
        <w:t xml:space="preserve"> Grande Impresa, lo stesso dovrà dichiarare di trovarsi in una situazione comparabile ad un rating del credito pari ad almeno B-. </w:t>
      </w:r>
    </w:p>
    <w:p w:rsidR="00DB6BDA" w:rsidRDefault="00B342CB">
      <w:pPr>
        <w:spacing w:before="120" w:after="120" w:line="259" w:lineRule="auto"/>
        <w:jc w:val="both"/>
        <w:rPr>
          <w:rFonts w:ascii="Garamond" w:eastAsia="Calibri" w:hAnsi="Garamond"/>
          <w:szCs w:val="22"/>
          <w:lang w:eastAsia="en-US"/>
        </w:rPr>
      </w:pPr>
      <w:r>
        <w:rPr>
          <w:rFonts w:ascii="Garamond" w:eastAsia="Calibri" w:hAnsi="Garamond"/>
          <w:szCs w:val="22"/>
          <w:lang w:eastAsia="en-US"/>
        </w:rPr>
        <w:t xml:space="preserve">Per la definizione di PMI si rimanda alla raccomandazione della Commissione europea n. 2003/361/CE, oltre che all’allegato I </w:t>
      </w:r>
      <w:r>
        <w:rPr>
          <w:rFonts w:ascii="Garamond" w:eastAsia="Calibri" w:hAnsi="Garamond"/>
          <w:szCs w:val="22"/>
          <w:lang w:eastAsia="en-US"/>
        </w:rPr>
        <w:t>del regolamento (UE) n. 702/2014.</w:t>
      </w:r>
    </w:p>
    <w:p w:rsidR="00DB6BDA" w:rsidRDefault="00DB6BDA">
      <w:pPr>
        <w:spacing w:after="120"/>
        <w:rPr>
          <w:rFonts w:ascii="Garamond" w:hAnsi="Garamond"/>
        </w:rPr>
      </w:pPr>
    </w:p>
    <w:p w:rsidR="00DB6BDA" w:rsidRDefault="00DB6BDA">
      <w:pPr>
        <w:jc w:val="right"/>
      </w:pPr>
    </w:p>
    <w:sectPr w:rsidR="00DB6BDA">
      <w:headerReference w:type="default" r:id="rId11"/>
      <w:pgSz w:w="11906" w:h="16838"/>
      <w:pgMar w:top="2233" w:right="1134" w:bottom="1680" w:left="1134"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2CB" w:rsidRDefault="00B342CB">
      <w:r>
        <w:separator/>
      </w:r>
    </w:p>
  </w:endnote>
  <w:endnote w:type="continuationSeparator" w:id="0">
    <w:p w:rsidR="00B342CB" w:rsidRDefault="00B3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Lucida Grande">
    <w:charset w:val="00"/>
    <w:family w:val="roman"/>
    <w:pitch w:val="variable"/>
  </w:font>
  <w:font w:name="Times">
    <w:altName w:val="Times New Roman"/>
    <w:panose1 w:val="02020603050405020304"/>
    <w:charset w:val="00"/>
    <w:family w:val="roman"/>
    <w:pitch w:val="variable"/>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2CB" w:rsidRDefault="00B342CB">
      <w:r>
        <w:separator/>
      </w:r>
    </w:p>
  </w:footnote>
  <w:footnote w:type="continuationSeparator" w:id="0">
    <w:p w:rsidR="00B342CB" w:rsidRDefault="00B342CB">
      <w:r>
        <w:continuationSeparator/>
      </w:r>
    </w:p>
  </w:footnote>
  <w:footnote w:id="1">
    <w:p w:rsidR="00DB6BDA" w:rsidRDefault="00B342CB">
      <w:pPr>
        <w:pStyle w:val="Testonotaapidipagina"/>
        <w:jc w:val="both"/>
      </w:pPr>
      <w:r>
        <w:rPr>
          <w:rStyle w:val="Caratterinotaapidipagina"/>
        </w:rPr>
        <w:footnoteRef/>
      </w:r>
      <w:r>
        <w:rPr>
          <w:rStyle w:val="Caratterinotaapidipagina"/>
        </w:rPr>
        <w:tab/>
      </w:r>
      <w:r>
        <w:rPr>
          <w:rStyle w:val="Caratterinotaapidipagina"/>
        </w:rPr>
        <w:tab/>
      </w:r>
      <w:r>
        <w:rPr>
          <w:rStyle w:val="Caratterinotaapidipagina"/>
        </w:rPr>
        <w:tab/>
      </w:r>
      <w:r>
        <w:rPr>
          <w:rFonts w:ascii="Calibri" w:hAnsi="Calibri"/>
        </w:rPr>
        <w:tab/>
        <w:t xml:space="preserve"> </w:t>
      </w:r>
      <w:r>
        <w:rPr>
          <w:rFonts w:ascii="Calibri" w:hAnsi="Calibri"/>
          <w:sz w:val="18"/>
        </w:rPr>
        <w:t>Ai sensi dell’art. 38, D.P.R. 445 del 28 dicembre 2000, la dichiarazione è sottoscritta inviata insieme alla fotocopia, non autenticata di</w:t>
      </w:r>
      <w:r>
        <w:rPr>
          <w:rFonts w:ascii="Calibri" w:hAnsi="Calibri"/>
          <w:sz w:val="18"/>
        </w:rPr>
        <w:t xml:space="preserve"> un documento di identità del dichiarante</w:t>
      </w:r>
    </w:p>
  </w:footnote>
  <w:footnote w:id="2">
    <w:p w:rsidR="00DB6BDA" w:rsidRDefault="00B342CB">
      <w:pPr>
        <w:pStyle w:val="Testonotaapidipagina"/>
      </w:pPr>
      <w:r>
        <w:rPr>
          <w:rStyle w:val="Caratterinotaapidipagina"/>
        </w:rPr>
        <w:footnoteRef/>
      </w:r>
      <w:r>
        <w:rPr>
          <w:rStyle w:val="Caratterinotaapidipagina"/>
        </w:rPr>
        <w:tab/>
      </w:r>
      <w:r>
        <w:rPr>
          <w:rFonts w:ascii="Calibri Light" w:hAnsi="Calibri Light"/>
          <w:sz w:val="18"/>
          <w:szCs w:val="18"/>
        </w:rPr>
        <w:tab/>
      </w:r>
      <w:r>
        <w:rPr>
          <w:rFonts w:ascii="Calibri Light" w:hAnsi="Calibri Light"/>
          <w:sz w:val="18"/>
          <w:szCs w:val="18"/>
        </w:rPr>
        <w:t xml:space="preserve"> Per il concetto di controllo, ai fini della presente dichiarazione, si vedano le Istruzioni per la compilazione (allegato I, Sez. A)</w:t>
      </w:r>
    </w:p>
  </w:footnote>
  <w:footnote w:id="3">
    <w:p w:rsidR="00DB6BDA" w:rsidRDefault="00B342CB">
      <w:pPr>
        <w:pStyle w:val="Testonotaapidipagina"/>
        <w:jc w:val="both"/>
      </w:pPr>
      <w:r>
        <w:rPr>
          <w:rStyle w:val="Caratterinotaapidipagina"/>
        </w:rPr>
        <w:footnoteRef/>
      </w:r>
      <w:r>
        <w:rPr>
          <w:rStyle w:val="Caratterinotaapidipagina"/>
        </w:rPr>
        <w:tab/>
      </w:r>
      <w:r>
        <w:rPr>
          <w:rStyle w:val="Caratterinotaapidipagina"/>
        </w:rPr>
        <w:tab/>
      </w:r>
      <w:r>
        <w:rPr>
          <w:rStyle w:val="Caratterinotaapidipagina"/>
        </w:rPr>
        <w:tab/>
      </w:r>
      <w:r>
        <w:rPr>
          <w:rFonts w:ascii="Calibri Light" w:hAnsi="Calibri Light"/>
        </w:rPr>
        <w:tab/>
      </w:r>
      <w:r>
        <w:rPr>
          <w:rFonts w:ascii="Calibri Light" w:hAnsi="Calibri Light"/>
          <w:sz w:val="18"/>
          <w:szCs w:val="18"/>
        </w:rPr>
        <w:t xml:space="preserve"> In proposito si vedano le Istruzioni per la compilazione (Allegato I, Sez. B) presenti nella DGR n. 6000 del 19/12/2016.</w:t>
      </w:r>
    </w:p>
  </w:footnote>
  <w:footnote w:id="4">
    <w:p w:rsidR="00DB6BDA" w:rsidRDefault="00B342CB">
      <w:pPr>
        <w:pStyle w:val="Testonotaapidipagina"/>
        <w:jc w:val="both"/>
      </w:pPr>
      <w:r>
        <w:rPr>
          <w:rStyle w:val="Caratterinotaapidipagina"/>
        </w:rPr>
        <w:footnoteRef/>
      </w:r>
      <w:r>
        <w:rPr>
          <w:rStyle w:val="Caratterinotaapidipagina"/>
        </w:rPr>
        <w:tab/>
      </w:r>
      <w:r>
        <w:rPr>
          <w:rStyle w:val="Caratterinotaapidipagina"/>
        </w:rPr>
        <w:tab/>
      </w:r>
      <w:r>
        <w:rPr>
          <w:rStyle w:val="Caratterinotaapidipagina"/>
        </w:rPr>
        <w:tab/>
      </w:r>
      <w:r>
        <w:rPr>
          <w:rFonts w:ascii="Calibri Light" w:hAnsi="Calibri Light"/>
        </w:rPr>
        <w:tab/>
      </w:r>
      <w:r>
        <w:rPr>
          <w:rFonts w:ascii="Calibri Light" w:hAnsi="Calibri Light"/>
          <w:sz w:val="18"/>
          <w:szCs w:val="18"/>
        </w:rPr>
        <w:t xml:space="preserve"> In caso di acquisizioni di aziende o di rami di aziende o fusioni, in tabella va inserito anche il de minimis usufruito dall’imp</w:t>
      </w:r>
      <w:r>
        <w:rPr>
          <w:rFonts w:ascii="Calibri Light" w:hAnsi="Calibri Light"/>
          <w:sz w:val="18"/>
          <w:szCs w:val="18"/>
        </w:rPr>
        <w:t>resa o ramo d’azienda oggetto di acquisizione o fusione. In caso di scissioni, indicare solo l’ammontare attribuito o assegnato all’impresa richiedente. In proposito si vedano le Istruzioni per la compilazione (Allegato I, Sez. B) presenti nella DGR n. 600</w:t>
      </w:r>
      <w:r>
        <w:rPr>
          <w:rFonts w:ascii="Calibri Light" w:hAnsi="Calibri Light"/>
          <w:sz w:val="18"/>
          <w:szCs w:val="18"/>
        </w:rPr>
        <w:t>0 del 19/12/2016.</w:t>
      </w:r>
    </w:p>
  </w:footnote>
  <w:footnote w:id="5">
    <w:p w:rsidR="00DB6BDA" w:rsidRDefault="00B342CB">
      <w:pPr>
        <w:pStyle w:val="Testonotaapidipagina"/>
        <w:ind w:left="142" w:hanging="142"/>
        <w:jc w:val="both"/>
      </w:pPr>
      <w:r>
        <w:rPr>
          <w:rStyle w:val="Caratterinotaapidipagina"/>
        </w:rPr>
        <w:footnoteRef/>
      </w:r>
      <w:r>
        <w:rPr>
          <w:rStyle w:val="Caratterinotaapidipagina"/>
        </w:rPr>
        <w:tab/>
      </w:r>
      <w:r>
        <w:rPr>
          <w:rStyle w:val="Caratterinotaapidipagina"/>
        </w:rPr>
        <w:tab/>
      </w:r>
      <w:r>
        <w:rPr>
          <w:rStyle w:val="Caratterinotaapidipagina"/>
        </w:rPr>
        <w:tab/>
      </w:r>
      <w:r>
        <w:rPr>
          <w:rFonts w:ascii="Calibri Light" w:hAnsi="Calibri Light"/>
        </w:rPr>
        <w:tab/>
      </w:r>
      <w:r>
        <w:rPr>
          <w:rFonts w:ascii="Calibri Light" w:hAnsi="Calibri Light"/>
          <w:sz w:val="18"/>
          <w:szCs w:val="18"/>
        </w:rPr>
        <w:t xml:space="preserve"> Indicare il regolamento in base al quale è stato concesso l’aiuto “de minimis”: Reg. n. 1998/2006 (generale per il periodo 2007-2013); Reg. n. 1407/2013 (generale per il periodo 2014-2020); Reg. n: 1535/2007 (agricoltura 2007-2013);</w:t>
      </w:r>
      <w:r>
        <w:rPr>
          <w:rFonts w:ascii="Calibri Light" w:hAnsi="Calibri Light"/>
          <w:sz w:val="18"/>
          <w:szCs w:val="18"/>
        </w:rPr>
        <w:t xml:space="preserve"> Reg. n: 1408/2013 (settore agricolo 2014-2020), Reg. n. 875/2007 (pesca 2007-2013); Reg. n. 717/2014 (pesca 2014-2020); Reg. n. 360/2012 (SIEG).</w:t>
      </w:r>
    </w:p>
  </w:footnote>
  <w:footnote w:id="6">
    <w:p w:rsidR="00DB6BDA" w:rsidRDefault="00B342CB">
      <w:pPr>
        <w:pStyle w:val="Testonotaapidipagina"/>
        <w:jc w:val="both"/>
      </w:pPr>
      <w:r>
        <w:rPr>
          <w:rStyle w:val="Caratterinotaapidipagina"/>
        </w:rPr>
        <w:footnoteRef/>
      </w:r>
      <w:r>
        <w:rPr>
          <w:rStyle w:val="Caratterinotaapidipagina"/>
        </w:rPr>
        <w:tab/>
      </w:r>
      <w:r>
        <w:rPr>
          <w:rStyle w:val="Caratterinotaapidipagina"/>
        </w:rPr>
        <w:tab/>
      </w:r>
      <w:r>
        <w:rPr>
          <w:rStyle w:val="Caratterinotaapidipagina"/>
        </w:rPr>
        <w:tab/>
      </w:r>
      <w:r>
        <w:rPr>
          <w:rFonts w:ascii="Calibri Light" w:hAnsi="Calibri Light"/>
        </w:rPr>
        <w:tab/>
        <w:t xml:space="preserve"> Indicare l’importo effettivamente liquidato a saldo, se inferiore a quello concesso, e/o l’importo attri</w:t>
      </w:r>
      <w:r>
        <w:rPr>
          <w:rFonts w:ascii="Calibri Light" w:hAnsi="Calibri Light"/>
        </w:rPr>
        <w:t>buito o assegnato all’impresa richiedente in caso di scissione e/o l’importo attribuito o assegnato al ramo d’azienda ceduto. Si vedano anche le Istruzioni per la compilazione (allegato I, Sez.B) presenti nella DGR n. 6000 del 19/12/2016.</w:t>
      </w:r>
    </w:p>
  </w:footnote>
  <w:footnote w:id="7">
    <w:p w:rsidR="00DB6BDA" w:rsidRDefault="00B342CB">
      <w:pPr>
        <w:pStyle w:val="Testonotaapidipagina"/>
      </w:pPr>
      <w:r>
        <w:rPr>
          <w:rStyle w:val="Caratterinotaapidipagina"/>
        </w:rPr>
        <w:footnoteRef/>
      </w:r>
      <w:r>
        <w:rPr>
          <w:rStyle w:val="Caratterinotaapidipagina"/>
        </w:rPr>
        <w:tab/>
      </w:r>
      <w:r>
        <w:rPr>
          <w:rStyle w:val="Caratterinotaapidipagina"/>
        </w:rPr>
        <w:tab/>
      </w:r>
      <w:r>
        <w:rPr>
          <w:rStyle w:val="Caratterinotaapidipagina"/>
        </w:rPr>
        <w:tab/>
      </w:r>
      <w:r>
        <w:rPr>
          <w:rFonts w:ascii="Calibri Light" w:hAnsi="Calibri Light"/>
        </w:rPr>
        <w:tab/>
        <w:t xml:space="preserve"> Indicare gl</w:t>
      </w:r>
      <w:r>
        <w:rPr>
          <w:rFonts w:ascii="Calibri Light" w:hAnsi="Calibri Light"/>
        </w:rPr>
        <w:t>i estremi del Regolamento oppure della Decisione della Commissione che ha approvato l’aiuto notificato.</w:t>
      </w:r>
    </w:p>
    <w:p w:rsidR="00DB6BDA" w:rsidRDefault="00DB6BDA">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BDA" w:rsidRDefault="00B342CB">
    <w:pPr>
      <w:pStyle w:val="Intestazione"/>
    </w:pPr>
    <w:r>
      <w:rPr>
        <w:noProof/>
      </w:rPr>
      <w:drawing>
        <wp:anchor distT="0" distB="0" distL="114300" distR="114300" simplePos="0" relativeHeight="14" behindDoc="1" locked="0" layoutInCell="1" allowOverlap="1">
          <wp:simplePos x="0" y="0"/>
          <wp:positionH relativeFrom="column">
            <wp:posOffset>280670</wp:posOffset>
          </wp:positionH>
          <wp:positionV relativeFrom="paragraph">
            <wp:posOffset>-8255</wp:posOffset>
          </wp:positionV>
          <wp:extent cx="556895" cy="519430"/>
          <wp:effectExtent l="0" t="0" r="0" b="0"/>
          <wp:wrapNone/>
          <wp:docPr id="7"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1"/>
                  <pic:cNvPicPr>
                    <a:picLocks noChangeAspect="1" noChangeArrowheads="1"/>
                  </pic:cNvPicPr>
                </pic:nvPicPr>
                <pic:blipFill>
                  <a:blip r:embed="rId1"/>
                  <a:stretch>
                    <a:fillRect/>
                  </a:stretch>
                </pic:blipFill>
                <pic:spPr bwMode="auto">
                  <a:xfrm>
                    <a:off x="0" y="0"/>
                    <a:ext cx="556895" cy="5194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929EF"/>
    <w:multiLevelType w:val="multilevel"/>
    <w:tmpl w:val="00CE25F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F681BE2"/>
    <w:multiLevelType w:val="multilevel"/>
    <w:tmpl w:val="A10271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894E3B"/>
    <w:multiLevelType w:val="multilevel"/>
    <w:tmpl w:val="E522D5C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5B30D7E"/>
    <w:multiLevelType w:val="multilevel"/>
    <w:tmpl w:val="9D5EA520"/>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70C03FDA"/>
    <w:multiLevelType w:val="multilevel"/>
    <w:tmpl w:val="942287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BDA"/>
    <w:rsid w:val="00A55E8D"/>
    <w:rsid w:val="00B342CB"/>
    <w:rsid w:val="00B95393"/>
    <w:rsid w:val="00DB6BDA"/>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783E"/>
  <w15:docId w15:val="{FE3733A7-A020-4773-B74E-0295AA055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013D53"/>
  </w:style>
  <w:style w:type="character" w:customStyle="1" w:styleId="PidipaginaCarattere">
    <w:name w:val="Piè di pagina Carattere"/>
    <w:basedOn w:val="Carpredefinitoparagrafo"/>
    <w:link w:val="Pidipagina"/>
    <w:uiPriority w:val="99"/>
    <w:qFormat/>
    <w:rsid w:val="00013D53"/>
  </w:style>
  <w:style w:type="character" w:customStyle="1" w:styleId="TestofumettoCarattere">
    <w:name w:val="Testo fumetto Carattere"/>
    <w:basedOn w:val="Carpredefinitoparagrafo"/>
    <w:link w:val="Testofumetto"/>
    <w:uiPriority w:val="99"/>
    <w:semiHidden/>
    <w:qFormat/>
    <w:rsid w:val="00013D53"/>
    <w:rPr>
      <w:rFonts w:ascii="Lucida Grande" w:hAnsi="Lucida Grande" w:cs="Lucida Grande"/>
      <w:sz w:val="18"/>
      <w:szCs w:val="18"/>
    </w:rPr>
  </w:style>
  <w:style w:type="character" w:styleId="Rimandocommento">
    <w:name w:val="annotation reference"/>
    <w:qFormat/>
    <w:rsid w:val="00966137"/>
    <w:rPr>
      <w:sz w:val="16"/>
      <w:szCs w:val="16"/>
    </w:rPr>
  </w:style>
  <w:style w:type="character" w:customStyle="1" w:styleId="TestocommentoCarattere">
    <w:name w:val="Testo commento Carattere"/>
    <w:basedOn w:val="Carpredefinitoparagrafo"/>
    <w:link w:val="Testocommento"/>
    <w:qFormat/>
    <w:rsid w:val="00966137"/>
    <w:rPr>
      <w:rFonts w:ascii="Times" w:eastAsia="Times" w:hAnsi="Times" w:cs="Times New Roman"/>
      <w:sz w:val="20"/>
      <w:szCs w:val="20"/>
      <w:lang w:val="x-none" w:eastAsia="ar-SA"/>
    </w:rPr>
  </w:style>
  <w:style w:type="character" w:customStyle="1" w:styleId="CollegamentoInternet">
    <w:name w:val="Collegamento Internet"/>
    <w:basedOn w:val="Carpredefinitoparagrafo"/>
    <w:uiPriority w:val="99"/>
    <w:unhideWhenUsed/>
    <w:rsid w:val="006A2C60"/>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qFormat/>
    <w:rsid w:val="00A83359"/>
    <w:rPr>
      <w:rFonts w:ascii="Times New Roman" w:eastAsia="Times New Roman" w:hAnsi="Times New Roman" w:cs="Times New Roman"/>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A83359"/>
    <w:rPr>
      <w:vertAlign w:val="superscript"/>
    </w:rPr>
  </w:style>
  <w:style w:type="character" w:customStyle="1" w:styleId="Collegamentoipertestuale1">
    <w:name w:val="Collegamento ipertestuale1"/>
    <w:basedOn w:val="Carpredefinitoparagrafo"/>
    <w:uiPriority w:val="99"/>
    <w:unhideWhenUsed/>
    <w:qFormat/>
    <w:rsid w:val="00A83359"/>
    <w:rPr>
      <w:color w:val="0563C1"/>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ascii="Garamond" w:eastAsia="Calibri" w:hAnsi="Garamond"/>
      <w:spacing w:val="-6"/>
      <w:sz w:val="22"/>
      <w:szCs w:val="22"/>
      <w:lang w:eastAsia="en-US"/>
    </w:rPr>
  </w:style>
  <w:style w:type="character" w:customStyle="1" w:styleId="Caratterinotaapidipagina">
    <w:name w:val="Caratteri nota a piè di pagina"/>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ListLabel29">
    <w:name w:val="ListLabel 29"/>
    <w:qFormat/>
    <w:rPr>
      <w:rFonts w:ascii="Garamond" w:hAnsi="Garamond" w:cs="Wingdings"/>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ascii="Garamond" w:hAnsi="Garamond" w:cs="Wingdings"/>
      <w:sz w:val="22"/>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ascii="Garamond" w:eastAsia="Calibri" w:hAnsi="Garamond"/>
      <w:spacing w:val="-6"/>
      <w:sz w:val="22"/>
      <w:szCs w:val="22"/>
      <w:lang w:eastAsia="en-US"/>
    </w:rPr>
  </w:style>
  <w:style w:type="character" w:customStyle="1" w:styleId="ListLabel48">
    <w:name w:val="ListLabel 48"/>
    <w:qFormat/>
    <w:rPr>
      <w:rFonts w:ascii="Garamond" w:hAnsi="Garamond" w:cs="Wingdings"/>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ascii="Garamond" w:hAnsi="Garamond" w:cs="Wingdings"/>
      <w:sz w:val="22"/>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style>
  <w:style w:type="character" w:customStyle="1" w:styleId="ListLabel67">
    <w:name w:val="ListLabel 67"/>
    <w:qFormat/>
    <w:rPr>
      <w:rFonts w:ascii="Garamond" w:hAnsi="Garamond" w:cs="Wingdings"/>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ascii="Garamond" w:hAnsi="Garamond" w:cs="Wingdings"/>
      <w:sz w:val="22"/>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style>
  <w:style w:type="paragraph" w:styleId="Titolo">
    <w:name w:val="Title"/>
    <w:basedOn w:val="Normale"/>
    <w:next w:val="Corpotesto"/>
    <w:qFormat/>
    <w:pPr>
      <w:keepNext/>
      <w:spacing w:before="240" w:after="120"/>
    </w:pPr>
    <w:rPr>
      <w:rFonts w:ascii="Liberation Sans" w:eastAsia="Microsoft YaHei" w:hAnsi="Liberation Sans" w:cs="Arial Unicode MS"/>
      <w:sz w:val="28"/>
      <w:szCs w:val="28"/>
    </w:rPr>
  </w:style>
  <w:style w:type="paragraph" w:styleId="Corpotesto">
    <w:name w:val="Body Text"/>
    <w:basedOn w:val="Normale"/>
    <w:pPr>
      <w:spacing w:after="140" w:line="276" w:lineRule="auto"/>
    </w:pPr>
  </w:style>
  <w:style w:type="paragraph" w:styleId="Elenco">
    <w:name w:val="List"/>
    <w:basedOn w:val="Corpotesto"/>
    <w:rPr>
      <w:rFonts w:cs="Arial Unicode MS"/>
    </w:rPr>
  </w:style>
  <w:style w:type="paragraph" w:styleId="Didascalia">
    <w:name w:val="caption"/>
    <w:basedOn w:val="Normale"/>
    <w:qFormat/>
    <w:pPr>
      <w:suppressLineNumbers/>
      <w:spacing w:before="120" w:after="120"/>
    </w:pPr>
    <w:rPr>
      <w:rFonts w:cs="Arial Unicode MS"/>
      <w:i/>
      <w:iCs/>
    </w:rPr>
  </w:style>
  <w:style w:type="paragraph" w:customStyle="1" w:styleId="Indice">
    <w:name w:val="Indice"/>
    <w:basedOn w:val="Normale"/>
    <w:qFormat/>
    <w:pPr>
      <w:suppressLineNumbers/>
    </w:pPr>
    <w:rPr>
      <w:rFonts w:cs="Arial Unicode MS"/>
    </w:rPr>
  </w:style>
  <w:style w:type="paragraph" w:styleId="Intestazione">
    <w:name w:val="header"/>
    <w:basedOn w:val="Normale"/>
    <w:link w:val="IntestazioneCarattere"/>
    <w:uiPriority w:val="99"/>
    <w:unhideWhenUsed/>
    <w:rsid w:val="00013D53"/>
    <w:pPr>
      <w:tabs>
        <w:tab w:val="center" w:pos="4819"/>
        <w:tab w:val="right" w:pos="9638"/>
      </w:tabs>
    </w:pPr>
  </w:style>
  <w:style w:type="paragraph" w:styleId="Pidipagina">
    <w:name w:val="footer"/>
    <w:basedOn w:val="Normale"/>
    <w:link w:val="PidipaginaCarattere"/>
    <w:uiPriority w:val="99"/>
    <w:unhideWhenUsed/>
    <w:rsid w:val="00013D53"/>
    <w:pPr>
      <w:tabs>
        <w:tab w:val="center" w:pos="4819"/>
        <w:tab w:val="right" w:pos="9638"/>
      </w:tabs>
    </w:pPr>
  </w:style>
  <w:style w:type="paragraph" w:styleId="Testofumetto">
    <w:name w:val="Balloon Text"/>
    <w:basedOn w:val="Normale"/>
    <w:link w:val="TestofumettoCarattere"/>
    <w:uiPriority w:val="99"/>
    <w:semiHidden/>
    <w:unhideWhenUsed/>
    <w:qFormat/>
    <w:rsid w:val="00013D53"/>
    <w:rPr>
      <w:rFonts w:ascii="Lucida Grande" w:hAnsi="Lucida Grande" w:cs="Lucida Grande"/>
      <w:sz w:val="18"/>
      <w:szCs w:val="18"/>
    </w:rPr>
  </w:style>
  <w:style w:type="paragraph" w:styleId="Testocommento">
    <w:name w:val="annotation text"/>
    <w:basedOn w:val="Normale"/>
    <w:link w:val="TestocommentoCarattere"/>
    <w:qFormat/>
    <w:rsid w:val="00966137"/>
    <w:pPr>
      <w:suppressAutoHyphens/>
    </w:pPr>
    <w:rPr>
      <w:rFonts w:ascii="Times" w:eastAsia="Times" w:hAnsi="Times" w:cs="Times New Roman"/>
      <w:sz w:val="20"/>
      <w:szCs w:val="20"/>
      <w:lang w:val="x-none" w:eastAsia="ar-SA"/>
    </w:rPr>
  </w:style>
  <w:style w:type="paragraph" w:styleId="Testonotaapidipagina">
    <w:name w:val="footnote text"/>
    <w:basedOn w:val="Normale"/>
    <w:link w:val="TestonotaapidipaginaCarattere"/>
    <w:uiPriority w:val="99"/>
    <w:rsid w:val="00A83359"/>
    <w:rPr>
      <w:rFonts w:ascii="Times New Roman" w:eastAsia="Times New Roman" w:hAnsi="Times New Roman" w:cs="Times New Roman"/>
      <w:sz w:val="20"/>
      <w:szCs w:val="20"/>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d01.leggiditalia.it/cgi-bin/FulShow?TIPO=5&amp;NOTXT=1&amp;KEY=01LX000014482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2B17-3BA1-4887-B9E9-617D41B0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3171</TotalTime>
  <Pages>10</Pages>
  <Words>2641</Words>
  <Characters>15056</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 Windows</cp:lastModifiedBy>
  <cp:revision>3</cp:revision>
  <cp:lastPrinted>2017-03-14T16:50:00Z</cp:lastPrinted>
  <dcterms:created xsi:type="dcterms:W3CDTF">2022-03-21T19:01:00Z</dcterms:created>
  <dcterms:modified xsi:type="dcterms:W3CDTF">2022-03-24T16:36:00Z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